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27A87A1C" w14:textId="77777777" w:rsidR="00BC3CE2" w:rsidRDefault="0088301E" w:rsidP="00076282">
      <w:pPr>
        <w:spacing w:before="0" w:after="120"/>
        <w:ind w:firstLine="0"/>
      </w:pPr>
      <w:r w:rsidRPr="003566B0">
        <w:rPr>
          <w:b/>
          <w:bCs/>
        </w:rPr>
        <w:t>Meeting:</w:t>
      </w:r>
      <w:r w:rsidRPr="002C7104">
        <w:t xml:space="preserve"> </w:t>
      </w:r>
      <w:r w:rsidR="00BC3CE2">
        <w:t xml:space="preserve">Community Wellbeing Board </w:t>
      </w:r>
    </w:p>
    <w:p w14:paraId="48F31F7A" w14:textId="47EC3EAF" w:rsidR="0088301E" w:rsidRPr="003566B0" w:rsidRDefault="0088301E" w:rsidP="00076282">
      <w:pPr>
        <w:spacing w:before="0" w:after="120"/>
        <w:ind w:firstLine="0"/>
        <w:rPr>
          <w:color w:val="FF0000"/>
        </w:rPr>
      </w:pPr>
      <w:r w:rsidRPr="003566B0">
        <w:rPr>
          <w:b/>
          <w:bCs/>
        </w:rPr>
        <w:t>Date:</w:t>
      </w:r>
      <w:r>
        <w:t xml:space="preserve"> </w:t>
      </w:r>
      <w:r w:rsidR="00BC3CE2">
        <w:t>30 November 2022</w:t>
      </w:r>
    </w:p>
    <w:p w14:paraId="39F52046" w14:textId="77777777" w:rsidR="00076282" w:rsidRDefault="00076282" w:rsidP="004748F8">
      <w:pPr>
        <w:pStyle w:val="Heading1"/>
        <w:rPr>
          <w:sz w:val="32"/>
          <w:szCs w:val="32"/>
        </w:rPr>
      </w:pPr>
    </w:p>
    <w:p w14:paraId="75E4B33E" w14:textId="576A1DDB" w:rsidR="002D013E" w:rsidRPr="00076282" w:rsidRDefault="00BC3CE2" w:rsidP="004748F8">
      <w:pPr>
        <w:pStyle w:val="Heading1"/>
        <w:rPr>
          <w:sz w:val="32"/>
          <w:szCs w:val="32"/>
        </w:rPr>
      </w:pPr>
      <w:r>
        <w:rPr>
          <w:sz w:val="32"/>
          <w:szCs w:val="32"/>
        </w:rPr>
        <w:t xml:space="preserve">Fair Cost of Care </w:t>
      </w:r>
      <w:r w:rsidR="0088301E" w:rsidRPr="00076282">
        <w:rPr>
          <w:sz w:val="32"/>
          <w:szCs w:val="32"/>
        </w:rPr>
        <w:t xml:space="preserve"> </w:t>
      </w:r>
    </w:p>
    <w:p w14:paraId="61BD5ACA" w14:textId="77777777" w:rsidR="00CA5846" w:rsidRPr="00FF5DFA" w:rsidRDefault="00B56823" w:rsidP="00AE33E9">
      <w:pPr>
        <w:pStyle w:val="Heading2"/>
      </w:pPr>
      <w:r w:rsidRPr="00FF5DFA">
        <w:t>Purpose of report</w:t>
      </w:r>
    </w:p>
    <w:p w14:paraId="0DBB3B60" w14:textId="77777777" w:rsidR="002240F4" w:rsidRDefault="00BC3CE2" w:rsidP="00BC3CE2">
      <w:pPr>
        <w:ind w:firstLine="0"/>
      </w:pPr>
      <w:r>
        <w:t>For information</w:t>
      </w:r>
    </w:p>
    <w:p w14:paraId="13DE16B0" w14:textId="77777777" w:rsidR="00C77025" w:rsidRDefault="00B56823" w:rsidP="00AE33E9">
      <w:pPr>
        <w:pStyle w:val="Heading2"/>
      </w:pPr>
      <w:r>
        <w:t>Summary</w:t>
      </w:r>
    </w:p>
    <w:p w14:paraId="36B25EF2" w14:textId="238256C3" w:rsidR="00F8297E" w:rsidRDefault="00F8297E" w:rsidP="00F8297E">
      <w:pPr>
        <w:spacing w:before="0" w:after="120" w:line="276" w:lineRule="auto"/>
        <w:ind w:firstLine="0"/>
      </w:pPr>
      <w:r>
        <w:t xml:space="preserve">The purpose of this report is to provide background information to CWB Members on the DHSC Fair Cost of Care policy, what it required of councils, what work councils and providers have since undertaken and the outcome of the FCC process. </w:t>
      </w:r>
    </w:p>
    <w:p w14:paraId="2BDC4285" w14:textId="768830C1" w:rsidR="003C2D81" w:rsidRDefault="003C2D81" w:rsidP="00F8297E">
      <w:pPr>
        <w:ind w:firstLine="0"/>
      </w:pPr>
    </w:p>
    <w:p w14:paraId="6C19035B" w14:textId="3D1FC63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40BEC48" w14:textId="4DB70998" w:rsidR="00162B91" w:rsidRPr="00D54A14" w:rsidRDefault="00B101EC" w:rsidP="00162B91">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8D071E">
        <w:t>Community and Wellbeing B</w:t>
      </w:r>
      <w:r>
        <w:t xml:space="preserve">oard </w:t>
      </w:r>
      <w:r w:rsidR="008D071E">
        <w:t xml:space="preserve">read this report in preparation for </w:t>
      </w:r>
      <w:r w:rsidR="00D54A14">
        <w:t>a</w:t>
      </w:r>
      <w:r w:rsidR="008D071E">
        <w:t xml:space="preserve"> discussion on Fair Cost of Care at the Board meeting on 30 November 2022.</w:t>
      </w:r>
      <w:r w:rsidR="00D54A14" w:rsidRPr="00D54A14">
        <w:rPr>
          <w:rFonts w:cs="Arial"/>
        </w:rPr>
        <w:t xml:space="preserve"> </w:t>
      </w:r>
      <w:r w:rsidR="00D54A14">
        <w:rPr>
          <w:rFonts w:cs="Arial"/>
        </w:rPr>
        <w:t>Member’s attention is drawn to the ‘challenges’ section</w:t>
      </w:r>
      <w:r w:rsidR="00D54A14">
        <w:rPr>
          <w:rFonts w:cs="Arial"/>
        </w:rPr>
        <w:t xml:space="preserve"> (paragraph 5)</w:t>
      </w:r>
      <w:r w:rsidR="00D54A14">
        <w:rPr>
          <w:rFonts w:cs="Arial"/>
        </w:rPr>
        <w:t xml:space="preserve"> of this document that sets out the circumstances currently facing many councils</w:t>
      </w:r>
      <w:r w:rsidR="00D54A14">
        <w:rPr>
          <w:rFonts w:cs="Arial"/>
        </w:rPr>
        <w:t>.</w:t>
      </w:r>
    </w:p>
    <w:p w14:paraId="2BDA80C6" w14:textId="77777777" w:rsidR="001F77A5" w:rsidRDefault="001F77A5" w:rsidP="00AE33E9">
      <w:pPr>
        <w:pStyle w:val="Heading2"/>
      </w:pPr>
      <w:r>
        <w:t>Contact details</w:t>
      </w:r>
    </w:p>
    <w:p w14:paraId="788AFFB2" w14:textId="06E008BA" w:rsidR="00B56823" w:rsidRDefault="00B56823" w:rsidP="00425C92">
      <w:pPr>
        <w:spacing w:before="0" w:after="120"/>
        <w:ind w:firstLine="0"/>
      </w:pPr>
      <w:r>
        <w:t xml:space="preserve">Contact officer: </w:t>
      </w:r>
      <w:r w:rsidR="008D071E">
        <w:t>Leon Goddard</w:t>
      </w:r>
    </w:p>
    <w:p w14:paraId="078052B8" w14:textId="617D661D" w:rsidR="00B56823" w:rsidRDefault="00B56823" w:rsidP="00425C92">
      <w:pPr>
        <w:spacing w:before="0" w:after="120"/>
        <w:ind w:firstLine="0"/>
      </w:pPr>
      <w:r>
        <w:t>Position:</w:t>
      </w:r>
      <w:r w:rsidR="008D071E">
        <w:t xml:space="preserve"> Senior Adviser – Commissioning and Markets, Partners in Care and Health</w:t>
      </w:r>
    </w:p>
    <w:p w14:paraId="7C147EB5" w14:textId="77777777" w:rsidR="00F8297E" w:rsidRDefault="00F8297E" w:rsidP="00425C92">
      <w:pPr>
        <w:spacing w:before="0" w:after="120"/>
        <w:ind w:firstLine="0"/>
      </w:pPr>
      <w:r>
        <w:t>Contact details</w:t>
      </w:r>
      <w:r w:rsidR="00B56823">
        <w:t xml:space="preserve">: </w:t>
      </w:r>
      <w:r w:rsidR="008D071E">
        <w:t>07557 214985</w:t>
      </w:r>
      <w:r w:rsidR="00B56823">
        <w:t xml:space="preserve"> </w:t>
      </w:r>
    </w:p>
    <w:p w14:paraId="3FA2BFE5" w14:textId="1777EDCD" w:rsidR="00B56823" w:rsidRDefault="00F8297E" w:rsidP="00425C92">
      <w:pPr>
        <w:spacing w:before="0" w:after="120"/>
        <w:ind w:firstLine="0"/>
        <w:rPr>
          <w:rStyle w:val="Hyperlink"/>
        </w:rPr>
      </w:pPr>
      <w:r>
        <w:t xml:space="preserve">Email: </w:t>
      </w:r>
      <w:hyperlink r:id="rId12" w:history="1">
        <w:r w:rsidRPr="000C6249">
          <w:rPr>
            <w:rStyle w:val="Hyperlink"/>
          </w:rPr>
          <w:t>leon.goddard@local.gov.uk</w:t>
        </w:r>
      </w:hyperlink>
    </w:p>
    <w:p w14:paraId="5D1C58AA" w14:textId="77777777" w:rsidR="00F8297E" w:rsidRDefault="00F8297E">
      <w:pPr>
        <w:rPr>
          <w:sz w:val="32"/>
          <w:szCs w:val="32"/>
        </w:rPr>
      </w:pPr>
      <w:r>
        <w:rPr>
          <w:sz w:val="32"/>
          <w:szCs w:val="32"/>
        </w:rPr>
        <w:br w:type="page"/>
      </w:r>
    </w:p>
    <w:p w14:paraId="460BB77B" w14:textId="6A0857C7" w:rsidR="00076282" w:rsidRDefault="00076282" w:rsidP="00F8297E">
      <w:pPr>
        <w:spacing w:after="0" w:line="240" w:lineRule="auto"/>
        <w:ind w:firstLine="0"/>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656958F7" w:rsidR="00447DCB" w:rsidRPr="00076282" w:rsidRDefault="008D071E" w:rsidP="004748F8">
      <w:pPr>
        <w:pStyle w:val="Heading1"/>
        <w:rPr>
          <w:sz w:val="32"/>
          <w:szCs w:val="32"/>
        </w:rPr>
      </w:pPr>
      <w:r>
        <w:rPr>
          <w:sz w:val="32"/>
          <w:szCs w:val="32"/>
        </w:rPr>
        <w:t xml:space="preserve">Fair Cost of Care </w:t>
      </w:r>
    </w:p>
    <w:p w14:paraId="61A88C88" w14:textId="612A541B" w:rsidR="00E81AC5" w:rsidRDefault="00E81AC5" w:rsidP="00AE33E9">
      <w:pPr>
        <w:pStyle w:val="Heading2"/>
      </w:pPr>
      <w:r w:rsidRPr="00AE33E9">
        <w:t>Background</w:t>
      </w:r>
      <w:r w:rsidR="00101F83">
        <w:t xml:space="preserve"> </w:t>
      </w:r>
      <w:r w:rsidR="00101F83" w:rsidRPr="009E5E45">
        <w:rPr>
          <w:color w:val="C00000"/>
        </w:rPr>
        <w:t xml:space="preserve"> </w:t>
      </w:r>
    </w:p>
    <w:p w14:paraId="61EB7AA4" w14:textId="77777777" w:rsidR="00980EFD" w:rsidRPr="00F8297E" w:rsidRDefault="00980EFD" w:rsidP="00F8297E">
      <w:pPr>
        <w:ind w:left="426"/>
        <w:rPr>
          <w:b/>
          <w:bCs/>
          <w:sz w:val="28"/>
          <w:szCs w:val="28"/>
        </w:rPr>
      </w:pPr>
      <w:r w:rsidRPr="00F8297E">
        <w:rPr>
          <w:b/>
          <w:bCs/>
          <w:sz w:val="28"/>
          <w:szCs w:val="28"/>
        </w:rPr>
        <w:t xml:space="preserve">DHSC Policy and Guidance </w:t>
      </w:r>
    </w:p>
    <w:p w14:paraId="18CCEA60" w14:textId="77777777" w:rsidR="00F8297E" w:rsidRDefault="00EC5120" w:rsidP="00F8297E">
      <w:pPr>
        <w:pStyle w:val="ListParagraph"/>
        <w:numPr>
          <w:ilvl w:val="0"/>
          <w:numId w:val="28"/>
        </w:numPr>
      </w:pPr>
      <w:r>
        <w:t>In December 2022, DHSC published</w:t>
      </w:r>
      <w:r w:rsidR="00E40B71">
        <w:t xml:space="preserve"> a</w:t>
      </w:r>
      <w:r>
        <w:t xml:space="preserve"> </w:t>
      </w:r>
      <w:hyperlink r:id="rId13" w:history="1">
        <w:r w:rsidR="00E40B71">
          <w:rPr>
            <w:rStyle w:val="Hyperlink"/>
          </w:rPr>
          <w:t>p</w:t>
        </w:r>
        <w:r>
          <w:rPr>
            <w:rStyle w:val="Hyperlink"/>
          </w:rPr>
          <w:t xml:space="preserve">olicy </w:t>
        </w:r>
        <w:r w:rsidR="00E40B71">
          <w:rPr>
            <w:rStyle w:val="Hyperlink"/>
          </w:rPr>
          <w:t>p</w:t>
        </w:r>
        <w:r>
          <w:rPr>
            <w:rStyle w:val="Hyperlink"/>
          </w:rPr>
          <w:t>aper</w:t>
        </w:r>
      </w:hyperlink>
      <w:r>
        <w:t xml:space="preserve"> on market sustainability and cost of care that set out details of </w:t>
      </w:r>
      <w:r w:rsidR="003370E4">
        <w:t>activity and funding t</w:t>
      </w:r>
      <w:r w:rsidR="00397C7B">
        <w:t>o</w:t>
      </w:r>
      <w:r w:rsidR="003370E4">
        <w:t xml:space="preserve"> support the </w:t>
      </w:r>
      <w:r w:rsidR="00E15F22">
        <w:t xml:space="preserve">social care </w:t>
      </w:r>
      <w:r w:rsidR="003370E4">
        <w:t xml:space="preserve">sector. </w:t>
      </w:r>
      <w:r w:rsidR="00397C7B">
        <w:t xml:space="preserve">In </w:t>
      </w:r>
      <w:r w:rsidR="00E40B71">
        <w:t>March 2022</w:t>
      </w:r>
      <w:r w:rsidR="00E15F22">
        <w:t>,</w:t>
      </w:r>
      <w:r w:rsidR="00E40B71">
        <w:t xml:space="preserve"> </w:t>
      </w:r>
      <w:r w:rsidR="00397C7B">
        <w:t xml:space="preserve">DHSC issued </w:t>
      </w:r>
      <w:r w:rsidR="00E40B71">
        <w:t xml:space="preserve">detailed </w:t>
      </w:r>
      <w:hyperlink r:id="rId14" w:history="1">
        <w:r w:rsidR="00E40B71">
          <w:rPr>
            <w:rStyle w:val="Hyperlink"/>
          </w:rPr>
          <w:t>g</w:t>
        </w:r>
        <w:r w:rsidR="00E40B71" w:rsidRPr="00E40B71">
          <w:rPr>
            <w:rStyle w:val="Hyperlink"/>
          </w:rPr>
          <w:t>uidance</w:t>
        </w:r>
      </w:hyperlink>
      <w:r w:rsidR="00E40B71">
        <w:t xml:space="preserve"> on </w:t>
      </w:r>
      <w:r w:rsidR="00E15F22">
        <w:t xml:space="preserve">the grant conditions </w:t>
      </w:r>
      <w:r w:rsidR="00E40B71">
        <w:t xml:space="preserve">associated with this policy and funding. </w:t>
      </w:r>
    </w:p>
    <w:p w14:paraId="4634FB96" w14:textId="39143F91" w:rsidR="00397C7B" w:rsidRDefault="00397C7B" w:rsidP="00F8297E">
      <w:pPr>
        <w:pStyle w:val="ListParagraph"/>
        <w:numPr>
          <w:ilvl w:val="0"/>
          <w:numId w:val="28"/>
        </w:numPr>
      </w:pPr>
      <w:r>
        <w:t>The basis of this policy was that councils would be required to undertake cost of care exercises and submit the results to DHSC</w:t>
      </w:r>
      <w:r w:rsidR="00E15F22">
        <w:t>. If this was done in accordance with DHSC grant conditions, councils would receive their share of</w:t>
      </w:r>
      <w:r>
        <w:t xml:space="preserve"> funding in 2022/23 (£162m)</w:t>
      </w:r>
      <w:r w:rsidR="00E15F22">
        <w:t>. Further funding was committed for</w:t>
      </w:r>
      <w:r>
        <w:t xml:space="preserve"> 2023/24 and 2024/25 (£600m in each year) </w:t>
      </w:r>
      <w:r w:rsidR="00E15F22">
        <w:t xml:space="preserve">for </w:t>
      </w:r>
      <w:r>
        <w:t xml:space="preserve">councils to spend on increasing provider fees to support overall market sustainability. </w:t>
      </w:r>
    </w:p>
    <w:p w14:paraId="58D75D97" w14:textId="77777777" w:rsidR="00F8297E" w:rsidRDefault="00F8297E" w:rsidP="00F8297E">
      <w:pPr>
        <w:pStyle w:val="ListParagraph"/>
        <w:ind w:left="454" w:firstLine="0"/>
      </w:pPr>
    </w:p>
    <w:p w14:paraId="37FB9DCB" w14:textId="1CD46D38" w:rsidR="00397C7B" w:rsidRPr="00F8297E" w:rsidRDefault="00397C7B" w:rsidP="00F8297E">
      <w:pPr>
        <w:ind w:left="426"/>
        <w:rPr>
          <w:b/>
          <w:bCs/>
          <w:sz w:val="28"/>
          <w:szCs w:val="28"/>
        </w:rPr>
      </w:pPr>
      <w:r w:rsidRPr="00F8297E">
        <w:rPr>
          <w:b/>
          <w:bCs/>
          <w:sz w:val="28"/>
          <w:szCs w:val="28"/>
        </w:rPr>
        <w:t>Cost of care exercises and grant conditions</w:t>
      </w:r>
    </w:p>
    <w:p w14:paraId="7372A33D" w14:textId="6B0770B6" w:rsidR="003370E4" w:rsidRDefault="00397C7B" w:rsidP="00F8297E">
      <w:pPr>
        <w:pStyle w:val="ListParagraph"/>
        <w:numPr>
          <w:ilvl w:val="0"/>
          <w:numId w:val="28"/>
        </w:numPr>
      </w:pPr>
      <w:r>
        <w:t xml:space="preserve">The </w:t>
      </w:r>
      <w:r w:rsidR="00E15F22">
        <w:t xml:space="preserve">DHSC </w:t>
      </w:r>
      <w:r>
        <w:t xml:space="preserve">guidance stated that to </w:t>
      </w:r>
      <w:r w:rsidR="00E15F22">
        <w:t>meet</w:t>
      </w:r>
      <w:r>
        <w:t xml:space="preserve"> </w:t>
      </w:r>
      <w:r w:rsidR="003370E4">
        <w:t>grant conditions</w:t>
      </w:r>
      <w:r>
        <w:t xml:space="preserve">, </w:t>
      </w:r>
      <w:r w:rsidR="003370E4">
        <w:t>councils were required to:</w:t>
      </w:r>
    </w:p>
    <w:p w14:paraId="3AA70239" w14:textId="62E20C80" w:rsidR="00EC5120" w:rsidRDefault="003370E4" w:rsidP="00F8297E">
      <w:pPr>
        <w:pStyle w:val="ListParagraph"/>
        <w:numPr>
          <w:ilvl w:val="0"/>
          <w:numId w:val="30"/>
        </w:numPr>
      </w:pPr>
      <w:r>
        <w:t>Undertake cost of care exercise for 3 specific types of service; i) d</w:t>
      </w:r>
      <w:r w:rsidR="00EC5120" w:rsidRPr="00EC5120">
        <w:t>omiciliary care for people aged 18+ (excluding Supported Living, ECH, reablement</w:t>
      </w:r>
      <w:r>
        <w:t xml:space="preserve"> </w:t>
      </w:r>
      <w:r w:rsidR="00EC5120" w:rsidRPr="00EC5120">
        <w:t>and council provision)</w:t>
      </w:r>
      <w:r>
        <w:t xml:space="preserve">, ii) care homes </w:t>
      </w:r>
      <w:r w:rsidR="00EC5120" w:rsidRPr="00EC5120">
        <w:t>with</w:t>
      </w:r>
      <w:r>
        <w:t>out</w:t>
      </w:r>
      <w:r w:rsidR="00EC5120" w:rsidRPr="00EC5120">
        <w:t xml:space="preserve"> nursing for people aged 65+ and </w:t>
      </w:r>
      <w:r>
        <w:t>iii) c</w:t>
      </w:r>
      <w:r w:rsidR="00EC5120" w:rsidRPr="00EC5120">
        <w:t>are homes with nursing for people aged 65+</w:t>
      </w:r>
      <w:r>
        <w:t>.</w:t>
      </w:r>
    </w:p>
    <w:p w14:paraId="17CDA6BD" w14:textId="582D520F" w:rsidR="003370E4" w:rsidRDefault="003370E4" w:rsidP="00F8297E">
      <w:pPr>
        <w:pStyle w:val="ListParagraph"/>
        <w:numPr>
          <w:ilvl w:val="0"/>
          <w:numId w:val="30"/>
        </w:numPr>
      </w:pPr>
      <w:r>
        <w:t xml:space="preserve">Encourage providers to </w:t>
      </w:r>
      <w:r w:rsidR="00F22D1B">
        <w:t>participate in th</w:t>
      </w:r>
      <w:r w:rsidR="00397C7B">
        <w:t>ese</w:t>
      </w:r>
      <w:r w:rsidR="00F22D1B">
        <w:t xml:space="preserve"> </w:t>
      </w:r>
      <w:r w:rsidR="00980EFD">
        <w:t>exercise</w:t>
      </w:r>
      <w:r w:rsidR="00397C7B">
        <w:t>s and s</w:t>
      </w:r>
      <w:r w:rsidR="00F22D1B">
        <w:t xml:space="preserve">ubmit </w:t>
      </w:r>
      <w:r>
        <w:t>a comprehensive and standard list of cost</w:t>
      </w:r>
      <w:r w:rsidR="00980EFD">
        <w:t xml:space="preserve"> information</w:t>
      </w:r>
      <w:r w:rsidR="00397C7B">
        <w:t>,</w:t>
      </w:r>
      <w:r w:rsidR="00980EFD">
        <w:t xml:space="preserve"> in line with the council’s </w:t>
      </w:r>
      <w:r w:rsidR="00397C7B">
        <w:t xml:space="preserve">stated </w:t>
      </w:r>
      <w:r w:rsidR="00980EFD">
        <w:t xml:space="preserve">process. </w:t>
      </w:r>
      <w:r>
        <w:t xml:space="preserve"> </w:t>
      </w:r>
    </w:p>
    <w:p w14:paraId="6A3F31E7" w14:textId="56010ED7" w:rsidR="003370E4" w:rsidRDefault="003370E4" w:rsidP="00F8297E">
      <w:pPr>
        <w:pStyle w:val="ListParagraph"/>
        <w:numPr>
          <w:ilvl w:val="0"/>
          <w:numId w:val="30"/>
        </w:numPr>
      </w:pPr>
      <w:bookmarkStart w:id="0" w:name="_Hlk119683359"/>
      <w:r>
        <w:t>Compile documents and information based on the outputs of the costs of care exercises</w:t>
      </w:r>
      <w:r w:rsidR="00E15F22">
        <w:t xml:space="preserve"> and submit these to</w:t>
      </w:r>
      <w:r w:rsidR="00E15F22" w:rsidRPr="00E15F22">
        <w:t xml:space="preserve"> </w:t>
      </w:r>
      <w:r w:rsidR="00E15F22">
        <w:t>DHSC by 14</w:t>
      </w:r>
      <w:r w:rsidR="00E15F22" w:rsidRPr="003370E4">
        <w:rPr>
          <w:vertAlign w:val="superscript"/>
        </w:rPr>
        <w:t>th</w:t>
      </w:r>
      <w:r w:rsidR="00E15F22">
        <w:t xml:space="preserve"> October 2022</w:t>
      </w:r>
      <w:r>
        <w:t>. These included:</w:t>
      </w:r>
    </w:p>
    <w:bookmarkEnd w:id="0"/>
    <w:p w14:paraId="36A26A58" w14:textId="34E1F92B" w:rsidR="00980EFD" w:rsidRPr="00980EFD" w:rsidRDefault="003370E4" w:rsidP="00980EFD">
      <w:pPr>
        <w:pStyle w:val="ListParagraph"/>
        <w:numPr>
          <w:ilvl w:val="0"/>
          <w:numId w:val="27"/>
        </w:numPr>
        <w:ind w:left="1134" w:hanging="283"/>
      </w:pPr>
      <w:r w:rsidRPr="00F22D1B">
        <w:rPr>
          <w:rFonts w:eastAsia="MS PGothic"/>
          <w:color w:val="0070C0"/>
          <w:kern w:val="24"/>
        </w:rPr>
        <w:fldChar w:fldCharType="begin"/>
      </w:r>
      <w:r w:rsidRPr="00F22D1B">
        <w:rPr>
          <w:rFonts w:eastAsia="MS PGothic"/>
          <w:color w:val="0070C0"/>
          <w:kern w:val="24"/>
        </w:rPr>
        <w:instrText xml:space="preserve"> HYPERLINK "https://assets.publishing.service.gov.uk/government/uploads/system/uploads/attachment_data/file/1063240/annex-a-example-grant-template.xlsx" </w:instrText>
      </w:r>
      <w:r w:rsidRPr="00F22D1B">
        <w:rPr>
          <w:rFonts w:eastAsia="MS PGothic"/>
          <w:color w:val="0070C0"/>
          <w:kern w:val="24"/>
        </w:rPr>
        <w:fldChar w:fldCharType="separate"/>
      </w:r>
      <w:r w:rsidRPr="00F22D1B">
        <w:rPr>
          <w:rFonts w:eastAsia="MS PGothic"/>
          <w:color w:val="0070C0"/>
          <w:kern w:val="24"/>
          <w:u w:val="single"/>
        </w:rPr>
        <w:t>Cost of Care Table</w:t>
      </w:r>
      <w:r w:rsidRPr="00F22D1B">
        <w:rPr>
          <w:rFonts w:eastAsia="MS PGothic"/>
          <w:color w:val="0070C0"/>
          <w:kern w:val="24"/>
        </w:rPr>
        <w:fldChar w:fldCharType="end"/>
      </w:r>
      <w:r w:rsidR="00980EFD">
        <w:rPr>
          <w:rFonts w:eastAsia="MS PGothic"/>
          <w:color w:val="0070C0"/>
          <w:kern w:val="24"/>
        </w:rPr>
        <w:t xml:space="preserve"> </w:t>
      </w:r>
      <w:r w:rsidR="00980EFD" w:rsidRPr="00980EFD">
        <w:t xml:space="preserve">– </w:t>
      </w:r>
      <w:r w:rsidR="00E76E27">
        <w:t xml:space="preserve">Councils were asked to calculate and submit a single median figure for each cost line and </w:t>
      </w:r>
      <w:r w:rsidR="00980EFD" w:rsidRPr="00980EFD">
        <w:t>the overall cost</w:t>
      </w:r>
      <w:r w:rsidR="00E76E27">
        <w:t xml:space="preserve">, based on information they </w:t>
      </w:r>
      <w:r w:rsidR="00980EFD" w:rsidRPr="00980EFD">
        <w:t>received from providers. Councils also had to provide a breakdown of how they would use th</w:t>
      </w:r>
      <w:r w:rsidR="00980EFD">
        <w:t>eir grant t</w:t>
      </w:r>
      <w:r w:rsidR="00980EFD" w:rsidRPr="00980EFD">
        <w:t>o support the local sector.</w:t>
      </w:r>
    </w:p>
    <w:p w14:paraId="09342AC6" w14:textId="4E5956FD" w:rsidR="00980EFD" w:rsidRDefault="00E419BD" w:rsidP="00980EFD">
      <w:pPr>
        <w:pStyle w:val="ListParagraph"/>
        <w:numPr>
          <w:ilvl w:val="0"/>
          <w:numId w:val="27"/>
        </w:numPr>
        <w:ind w:left="1134" w:hanging="283"/>
      </w:pPr>
      <w:hyperlink r:id="rId15" w:history="1">
        <w:r w:rsidR="00980EFD" w:rsidRPr="00980EFD">
          <w:rPr>
            <w:rFonts w:eastAsia="MS PGothic"/>
            <w:color w:val="0070C0"/>
            <w:kern w:val="24"/>
            <w:u w:val="single"/>
          </w:rPr>
          <w:t>Cost of Care Report</w:t>
        </w:r>
      </w:hyperlink>
      <w:r w:rsidR="00980EFD" w:rsidRPr="00980EFD">
        <w:t xml:space="preserve"> </w:t>
      </w:r>
      <w:r w:rsidR="00980EFD">
        <w:t xml:space="preserve">– </w:t>
      </w:r>
      <w:r w:rsidR="00E76E27">
        <w:t>C</w:t>
      </w:r>
      <w:r w:rsidR="00980EFD">
        <w:t xml:space="preserve">ouncils were </w:t>
      </w:r>
      <w:r w:rsidR="00E76E27">
        <w:t>asked</w:t>
      </w:r>
      <w:r w:rsidR="00980EFD">
        <w:t xml:space="preserve"> to describe their approach to these exercises, how th</w:t>
      </w:r>
      <w:r w:rsidR="00FD21D4">
        <w:t>ese exercises when in p</w:t>
      </w:r>
      <w:r w:rsidR="00980EFD">
        <w:t xml:space="preserve">ractice and the </w:t>
      </w:r>
      <w:r w:rsidR="00FD21D4">
        <w:t xml:space="preserve">key </w:t>
      </w:r>
      <w:r w:rsidR="00980EFD">
        <w:t>outputs</w:t>
      </w:r>
      <w:r w:rsidR="00E76E27">
        <w:t>.</w:t>
      </w:r>
      <w:r w:rsidR="00200C4B">
        <w:t xml:space="preserve"> The grant conditions require councils to publish this Report on their website, though the date by which </w:t>
      </w:r>
      <w:r w:rsidR="00D47D54">
        <w:t xml:space="preserve">this should be </w:t>
      </w:r>
      <w:r w:rsidR="00FD21D4">
        <w:t>d</w:t>
      </w:r>
      <w:r w:rsidR="00D47D54">
        <w:t xml:space="preserve">one has not been confirmed.  </w:t>
      </w:r>
    </w:p>
    <w:p w14:paraId="488CBD4D" w14:textId="77777777" w:rsidR="00F8297E" w:rsidRDefault="00E419BD" w:rsidP="00F8297E">
      <w:pPr>
        <w:pStyle w:val="ListParagraph"/>
        <w:numPr>
          <w:ilvl w:val="0"/>
          <w:numId w:val="27"/>
        </w:numPr>
        <w:ind w:left="1134" w:hanging="283"/>
      </w:pPr>
      <w:hyperlink r:id="rId16" w:history="1">
        <w:r w:rsidR="00980EFD">
          <w:rPr>
            <w:rStyle w:val="Hyperlink"/>
            <w:rFonts w:eastAsia="MS PGothic"/>
            <w:color w:val="0070C0"/>
            <w:kern w:val="24"/>
          </w:rPr>
          <w:t>Market Sustainability Plan</w:t>
        </w:r>
      </w:hyperlink>
      <w:r w:rsidR="00980EFD">
        <w:t xml:space="preserve"> – Councils were asked to provide an assessment of the local social care sector and key challenges, assess the impact of future </w:t>
      </w:r>
      <w:r w:rsidR="00980EFD">
        <w:lastRenderedPageBreak/>
        <w:t xml:space="preserve">market charges (including Charging Reform) and describe their plans to support market sustainability in the coming years. </w:t>
      </w:r>
    </w:p>
    <w:p w14:paraId="6D638BAF" w14:textId="25780ADE" w:rsidR="00E76E27" w:rsidRDefault="00397C7B" w:rsidP="00F8297E">
      <w:pPr>
        <w:pStyle w:val="ListParagraph"/>
        <w:numPr>
          <w:ilvl w:val="0"/>
          <w:numId w:val="28"/>
        </w:numPr>
      </w:pPr>
      <w:r>
        <w:t>All councils submitted the required information by 14</w:t>
      </w:r>
      <w:r w:rsidR="00E76E27">
        <w:t xml:space="preserve"> </w:t>
      </w:r>
      <w:r>
        <w:t xml:space="preserve">October 2022. DHSC is </w:t>
      </w:r>
      <w:r w:rsidR="00E76E27">
        <w:t xml:space="preserve">in the process of </w:t>
      </w:r>
      <w:r>
        <w:t xml:space="preserve">reviewing submissions to establish if </w:t>
      </w:r>
      <w:r w:rsidR="00E76E27">
        <w:t xml:space="preserve">councils met the </w:t>
      </w:r>
      <w:r>
        <w:t>grant conditions</w:t>
      </w:r>
      <w:r w:rsidR="00E76E27">
        <w:t>.</w:t>
      </w:r>
    </w:p>
    <w:p w14:paraId="6F77EC3E" w14:textId="77777777" w:rsidR="00F8297E" w:rsidRDefault="00F8297E" w:rsidP="00397C7B">
      <w:pPr>
        <w:pStyle w:val="ListParagraph"/>
        <w:ind w:left="454" w:firstLine="0"/>
      </w:pPr>
    </w:p>
    <w:p w14:paraId="6D1B476B" w14:textId="77777777" w:rsidR="00E76E27" w:rsidRPr="00F8297E" w:rsidRDefault="00980EFD" w:rsidP="00F8297E">
      <w:pPr>
        <w:rPr>
          <w:b/>
          <w:bCs/>
          <w:sz w:val="28"/>
          <w:szCs w:val="28"/>
        </w:rPr>
      </w:pPr>
      <w:r w:rsidRPr="00F8297E">
        <w:rPr>
          <w:b/>
          <w:bCs/>
          <w:sz w:val="28"/>
          <w:szCs w:val="28"/>
        </w:rPr>
        <w:t>C</w:t>
      </w:r>
      <w:r w:rsidR="00E76E27" w:rsidRPr="00F8297E">
        <w:rPr>
          <w:b/>
          <w:bCs/>
          <w:sz w:val="28"/>
          <w:szCs w:val="28"/>
        </w:rPr>
        <w:t xml:space="preserve">hallenges </w:t>
      </w:r>
    </w:p>
    <w:p w14:paraId="4C2090BF" w14:textId="54BA34CC" w:rsidR="00EC5120" w:rsidRPr="00EC5120" w:rsidRDefault="00EC5120" w:rsidP="00F8297E">
      <w:pPr>
        <w:pStyle w:val="ListParagraph"/>
        <w:numPr>
          <w:ilvl w:val="0"/>
          <w:numId w:val="28"/>
        </w:numPr>
      </w:pPr>
      <w:r w:rsidRPr="00EC5120">
        <w:t>Provider Responses</w:t>
      </w:r>
      <w:r w:rsidR="00D47D54">
        <w:t xml:space="preserve"> – The number and content of provider responses was not what had been hoped for and this has left the sector in a challenging place that was clearly not the intention of this Policy.</w:t>
      </w:r>
      <w:r w:rsidR="0069481E" w:rsidRPr="0069481E">
        <w:t xml:space="preserve"> </w:t>
      </w:r>
      <w:r w:rsidRPr="00EC5120">
        <w:t xml:space="preserve">Councils have significant provider cost data, but </w:t>
      </w:r>
      <w:r w:rsidR="0069481E">
        <w:t xml:space="preserve">there is no </w:t>
      </w:r>
      <w:r w:rsidRPr="00EC5120">
        <w:t xml:space="preserve">shared picture of </w:t>
      </w:r>
      <w:r w:rsidR="0069481E">
        <w:t xml:space="preserve">national or local </w:t>
      </w:r>
      <w:r w:rsidRPr="00EC5120">
        <w:t>intelligence because of:</w:t>
      </w:r>
    </w:p>
    <w:p w14:paraId="7C224BD8" w14:textId="62314980" w:rsidR="0069481E" w:rsidRDefault="00D47D54" w:rsidP="00F8297E">
      <w:pPr>
        <w:pStyle w:val="ListParagraph"/>
        <w:numPr>
          <w:ilvl w:val="1"/>
          <w:numId w:val="28"/>
        </w:numPr>
        <w:ind w:left="1134"/>
      </w:pPr>
      <w:r>
        <w:t>Response Rate – The o</w:t>
      </w:r>
      <w:r w:rsidR="00EC5120" w:rsidRPr="00EC5120">
        <w:t xml:space="preserve">verall national </w:t>
      </w:r>
      <w:r w:rsidR="0069481E">
        <w:t xml:space="preserve">provider </w:t>
      </w:r>
      <w:r w:rsidR="00EC5120" w:rsidRPr="00EC5120">
        <w:t xml:space="preserve">response </w:t>
      </w:r>
      <w:r w:rsidR="0069481E">
        <w:t xml:space="preserve">rate </w:t>
      </w:r>
      <w:r>
        <w:t xml:space="preserve">was </w:t>
      </w:r>
      <w:r w:rsidR="00EC5120" w:rsidRPr="00EC5120">
        <w:t>c30%</w:t>
      </w:r>
      <w:r w:rsidR="0069481E">
        <w:t xml:space="preserve">. Local response rates ranged from 5%-80% with </w:t>
      </w:r>
      <w:r w:rsidR="00FD21D4">
        <w:t xml:space="preserve">councils typically receiving information from </w:t>
      </w:r>
      <w:r w:rsidR="00EC5120" w:rsidRPr="00EC5120">
        <w:t>c20-30%</w:t>
      </w:r>
      <w:r w:rsidR="00FD21D4">
        <w:t xml:space="preserve"> of local providers.</w:t>
      </w:r>
      <w:r w:rsidR="0069481E">
        <w:t xml:space="preserve"> </w:t>
      </w:r>
    </w:p>
    <w:p w14:paraId="1FB1449B" w14:textId="26D9524F" w:rsidR="00EC5120" w:rsidRPr="00EC5120" w:rsidRDefault="00EC5120" w:rsidP="00F8297E">
      <w:pPr>
        <w:pStyle w:val="ListParagraph"/>
        <w:numPr>
          <w:ilvl w:val="1"/>
          <w:numId w:val="28"/>
        </w:numPr>
        <w:ind w:left="1134"/>
      </w:pPr>
      <w:r w:rsidRPr="00EC5120">
        <w:t>Variability in costs: The data received showed that provider’s costs vary significantly according to their structure and funding and care delivery arrangements</w:t>
      </w:r>
      <w:r w:rsidR="0069481E">
        <w:t>. T</w:t>
      </w:r>
      <w:r w:rsidRPr="00EC5120">
        <w:t>here is certainly no single or standard cost</w:t>
      </w:r>
      <w:r w:rsidR="00FD21D4">
        <w:t xml:space="preserve"> nationally or locally</w:t>
      </w:r>
      <w:r w:rsidR="0069481E">
        <w:t>.</w:t>
      </w:r>
    </w:p>
    <w:p w14:paraId="6EA1AFCB" w14:textId="54A34E30" w:rsidR="00EC5120" w:rsidRPr="00EC5120" w:rsidRDefault="00EC5120" w:rsidP="00F8297E">
      <w:pPr>
        <w:pStyle w:val="ListParagraph"/>
        <w:numPr>
          <w:ilvl w:val="1"/>
          <w:numId w:val="28"/>
        </w:numPr>
        <w:ind w:left="1134"/>
      </w:pPr>
      <w:r w:rsidRPr="00EC5120">
        <w:t>Variability in approach: The exact process and approaches used by councils differed, as did the way providers responded</w:t>
      </w:r>
      <w:r w:rsidR="0069481E">
        <w:t>,</w:t>
      </w:r>
      <w:r w:rsidRPr="00EC5120">
        <w:t xml:space="preserve"> affect</w:t>
      </w:r>
      <w:r w:rsidR="0069481E">
        <w:t xml:space="preserve">ing </w:t>
      </w:r>
      <w:r w:rsidRPr="00EC5120">
        <w:t>consistency and comparability of cost information</w:t>
      </w:r>
      <w:r w:rsidR="0069481E">
        <w:t>.</w:t>
      </w:r>
      <w:r w:rsidRPr="00EC5120">
        <w:t xml:space="preserve"> </w:t>
      </w:r>
    </w:p>
    <w:p w14:paraId="4BE1F582" w14:textId="09BA47CD" w:rsidR="00EC5120" w:rsidRPr="00EC5120" w:rsidRDefault="00EC5120" w:rsidP="00F8297E">
      <w:pPr>
        <w:pStyle w:val="ListParagraph"/>
        <w:numPr>
          <w:ilvl w:val="1"/>
          <w:numId w:val="28"/>
        </w:numPr>
        <w:ind w:left="1134"/>
      </w:pPr>
      <w:r w:rsidRPr="00EC5120">
        <w:t>Rate and type of response: The</w:t>
      </w:r>
      <w:r w:rsidR="0069481E">
        <w:t xml:space="preserve"> issues </w:t>
      </w:r>
      <w:r w:rsidR="00FD21D4">
        <w:t xml:space="preserve">listed above </w:t>
      </w:r>
      <w:r w:rsidR="0069481E">
        <w:t xml:space="preserve">mean that </w:t>
      </w:r>
      <w:r w:rsidRPr="00EC5120">
        <w:t>the data gives an incomplete and potentially unrepresentative picture of costs that does not support national or local comparisons</w:t>
      </w:r>
      <w:r w:rsidR="00FD21D4">
        <w:t xml:space="preserve"> or decisions.</w:t>
      </w:r>
      <w:r w:rsidRPr="00EC5120">
        <w:t xml:space="preserve"> </w:t>
      </w:r>
    </w:p>
    <w:p w14:paraId="55835868" w14:textId="77777777" w:rsidR="00FD21D4" w:rsidRDefault="00E76E27" w:rsidP="00F8297E">
      <w:pPr>
        <w:pStyle w:val="ListParagraph"/>
        <w:numPr>
          <w:ilvl w:val="0"/>
          <w:numId w:val="28"/>
        </w:numPr>
      </w:pPr>
      <w:r w:rsidRPr="00E76E27">
        <w:t>Terminology and expectation</w:t>
      </w:r>
      <w:r>
        <w:t>s</w:t>
      </w:r>
      <w:r w:rsidRPr="00E76E27">
        <w:t xml:space="preserve"> – </w:t>
      </w:r>
      <w:r>
        <w:t xml:space="preserve">DHSC labelled this exercise as seeking to understand the </w:t>
      </w:r>
      <w:r w:rsidRPr="00E76E27">
        <w:t>“Fair</w:t>
      </w:r>
      <w:r>
        <w:t xml:space="preserve"> Cost of Care</w:t>
      </w:r>
      <w:r w:rsidRPr="00E76E27">
        <w:t>”</w:t>
      </w:r>
      <w:r w:rsidR="00200C4B">
        <w:t xml:space="preserve">, without fully explaining what </w:t>
      </w:r>
      <w:r>
        <w:t>“fair”</w:t>
      </w:r>
      <w:r w:rsidR="00200C4B">
        <w:t xml:space="preserve"> meant and this </w:t>
      </w:r>
      <w:r w:rsidR="00FD21D4">
        <w:t xml:space="preserve">has led to different interpretation. The same is true of DHSC’s requirement that councils use grant funding to </w:t>
      </w:r>
      <w:r w:rsidR="00200C4B">
        <w:t>“m</w:t>
      </w:r>
      <w:r w:rsidRPr="00E76E27">
        <w:t>ov</w:t>
      </w:r>
      <w:r w:rsidR="00FD21D4">
        <w:t>e</w:t>
      </w:r>
      <w:r w:rsidRPr="00E76E27">
        <w:t xml:space="preserve"> </w:t>
      </w:r>
      <w:r w:rsidR="00200C4B">
        <w:t>t</w:t>
      </w:r>
      <w:r w:rsidRPr="00E76E27">
        <w:t>owards</w:t>
      </w:r>
      <w:r w:rsidR="00200C4B">
        <w:t xml:space="preserve"> paying a fair cost of care”</w:t>
      </w:r>
      <w:r w:rsidR="00FD21D4">
        <w:t xml:space="preserve">, again without </w:t>
      </w:r>
      <w:r w:rsidR="00200C4B">
        <w:t>fully explain</w:t>
      </w:r>
      <w:r w:rsidR="00FD21D4">
        <w:t>ing</w:t>
      </w:r>
      <w:r w:rsidR="00200C4B">
        <w:t xml:space="preserve"> or quantif</w:t>
      </w:r>
      <w:r w:rsidR="00FD21D4">
        <w:t xml:space="preserve">ying what “move towards” means. The result is a gap in what councils and providers understand of the aim of this policy. </w:t>
      </w:r>
    </w:p>
    <w:p w14:paraId="6C949D7F" w14:textId="4460812E" w:rsidR="00522C51" w:rsidRDefault="00EC5120" w:rsidP="00F8297E">
      <w:pPr>
        <w:pStyle w:val="ListParagraph"/>
        <w:numPr>
          <w:ilvl w:val="0"/>
          <w:numId w:val="28"/>
        </w:numPr>
      </w:pPr>
      <w:r w:rsidRPr="00EC5120">
        <w:t>Level of funding</w:t>
      </w:r>
      <w:r w:rsidR="0069481E">
        <w:t xml:space="preserve"> – It was always clear to partners, including DHSC, that the </w:t>
      </w:r>
      <w:r w:rsidR="00F8297E">
        <w:t>c</w:t>
      </w:r>
      <w:r w:rsidR="00FD21D4">
        <w:t xml:space="preserve">ommitted </w:t>
      </w:r>
      <w:r w:rsidR="0069481E">
        <w:t xml:space="preserve">level of grant funding was likely to be less than the gap between current council fee rates and the costs that would </w:t>
      </w:r>
      <w:r w:rsidR="00496C84">
        <w:t>be submitted through th</w:t>
      </w:r>
      <w:r w:rsidR="00FD21D4">
        <w:t>ese</w:t>
      </w:r>
      <w:r w:rsidR="00496C84">
        <w:t xml:space="preserve"> exercise</w:t>
      </w:r>
      <w:r w:rsidR="00FD21D4">
        <w:t>s</w:t>
      </w:r>
      <w:r w:rsidR="00496C84">
        <w:t xml:space="preserve">. </w:t>
      </w:r>
      <w:r w:rsidR="0069481E">
        <w:t>This has been the result</w:t>
      </w:r>
      <w:r w:rsidR="00496C84">
        <w:t xml:space="preserve"> and has created challenges for councils looking to support the sector as best they can and providers facing significant workforce and sustainability issues. </w:t>
      </w:r>
    </w:p>
    <w:p w14:paraId="0BEDA411" w14:textId="144EFFD8" w:rsidR="00D310D3" w:rsidRDefault="00522C51" w:rsidP="00F8297E">
      <w:pPr>
        <w:pStyle w:val="ListParagraph"/>
        <w:numPr>
          <w:ilvl w:val="0"/>
          <w:numId w:val="28"/>
        </w:numPr>
      </w:pPr>
      <w:r>
        <w:t>Impact on local social care sectors and market sustainability – Under their Care Ac</w:t>
      </w:r>
      <w:r w:rsidR="00F8297E">
        <w:t xml:space="preserve">t </w:t>
      </w:r>
      <w:r>
        <w:t xml:space="preserve"> duties, councils </w:t>
      </w:r>
      <w:r w:rsidR="00FD21D4">
        <w:t xml:space="preserve">must </w:t>
      </w:r>
      <w:r>
        <w:t xml:space="preserve">consider the information from these exercises in any future decision-making and fee setting, irrespective of the future of the Fair Cost of Care Policy. In some areas, this situation has added to existing challenges around council / provider relations and overall market sustainability (e.g. some providers saying they will refuse to deliver care unless the council pays them the “Fair Cost of Care”). </w:t>
      </w:r>
    </w:p>
    <w:p w14:paraId="35B9B864" w14:textId="77777777" w:rsidR="00F8297E" w:rsidRDefault="00F8297E" w:rsidP="00F8297E">
      <w:pPr>
        <w:pStyle w:val="ListParagraph"/>
        <w:ind w:left="454" w:firstLine="0"/>
      </w:pPr>
    </w:p>
    <w:p w14:paraId="6A275881" w14:textId="77777777" w:rsidR="00496C84" w:rsidRPr="00F8297E" w:rsidRDefault="00496C84" w:rsidP="00F8297E">
      <w:pPr>
        <w:pStyle w:val="ListParagraph"/>
        <w:ind w:left="0" w:firstLine="0"/>
        <w:rPr>
          <w:b/>
          <w:bCs/>
          <w:sz w:val="28"/>
          <w:szCs w:val="28"/>
        </w:rPr>
      </w:pPr>
      <w:r w:rsidRPr="00F8297E">
        <w:rPr>
          <w:b/>
          <w:bCs/>
          <w:sz w:val="28"/>
          <w:szCs w:val="28"/>
        </w:rPr>
        <w:lastRenderedPageBreak/>
        <w:t xml:space="preserve">Future of Fair Cost of Care </w:t>
      </w:r>
    </w:p>
    <w:p w14:paraId="59E8C855" w14:textId="196B763A" w:rsidR="00496C84" w:rsidRDefault="00496C84" w:rsidP="00F8297E">
      <w:pPr>
        <w:pStyle w:val="ListParagraph"/>
        <w:numPr>
          <w:ilvl w:val="0"/>
          <w:numId w:val="28"/>
        </w:numPr>
      </w:pPr>
      <w:r>
        <w:t>It was announced in the Autumn Statement that Charging Reform (of which Fair Cost of Care is a part) would be delayed by 2 years. However, at the time of writing this report it was not yet clear:</w:t>
      </w:r>
    </w:p>
    <w:p w14:paraId="1F05208A" w14:textId="77777777" w:rsidR="00522C51" w:rsidRDefault="00496C84" w:rsidP="00F8297E">
      <w:pPr>
        <w:pStyle w:val="ListParagraph"/>
        <w:numPr>
          <w:ilvl w:val="1"/>
          <w:numId w:val="28"/>
        </w:numPr>
        <w:ind w:left="1134"/>
      </w:pPr>
      <w:r>
        <w:t xml:space="preserve">If the remaining elements of the Fair Cost of Care process would </w:t>
      </w:r>
      <w:r w:rsidR="00522C51">
        <w:t>be affected.</w:t>
      </w:r>
    </w:p>
    <w:p w14:paraId="43363717" w14:textId="22D42DE7" w:rsidR="00496C84" w:rsidRDefault="00496C84" w:rsidP="00F8297E">
      <w:pPr>
        <w:pStyle w:val="ListParagraph"/>
        <w:numPr>
          <w:ilvl w:val="1"/>
          <w:numId w:val="28"/>
        </w:numPr>
        <w:ind w:left="1134"/>
      </w:pPr>
      <w:r>
        <w:t xml:space="preserve">If the funding committed as part of this policy would change or </w:t>
      </w:r>
      <w:r w:rsidR="00FD21D4">
        <w:t>not</w:t>
      </w:r>
      <w:r w:rsidR="00522C51">
        <w:t>.</w:t>
      </w:r>
      <w:r>
        <w:t xml:space="preserve"> </w:t>
      </w:r>
    </w:p>
    <w:p w14:paraId="49C1F643" w14:textId="6C77B923" w:rsidR="00522C51" w:rsidRDefault="00496C84" w:rsidP="00F8297E">
      <w:pPr>
        <w:pStyle w:val="ListParagraph"/>
        <w:numPr>
          <w:ilvl w:val="1"/>
          <w:numId w:val="28"/>
        </w:numPr>
        <w:ind w:left="1134"/>
      </w:pPr>
      <w:r>
        <w:t xml:space="preserve">How the funding announced in the Autumn statement would </w:t>
      </w:r>
      <w:r w:rsidR="00522C51">
        <w:t>be distributed to councils and the social care sector.</w:t>
      </w:r>
    </w:p>
    <w:p w14:paraId="752594D4" w14:textId="4D5E0759" w:rsidR="004748F8" w:rsidRDefault="004748F8" w:rsidP="004748F8">
      <w:pPr>
        <w:pStyle w:val="Heading2"/>
      </w:pPr>
      <w:r>
        <w:t>Proposal</w:t>
      </w:r>
      <w:r w:rsidR="00101F83">
        <w:t xml:space="preserve"> </w:t>
      </w:r>
    </w:p>
    <w:p w14:paraId="5702DB01" w14:textId="44D00086" w:rsidR="00522C51" w:rsidRDefault="00522C51" w:rsidP="00F8297E">
      <w:pPr>
        <w:pStyle w:val="ListParagraph"/>
        <w:numPr>
          <w:ilvl w:val="0"/>
          <w:numId w:val="28"/>
        </w:numPr>
      </w:pPr>
      <w:r>
        <w:t xml:space="preserve">The aim of this report is to provide information and context to CWB members to prepare for </w:t>
      </w:r>
      <w:r w:rsidR="00FD21D4">
        <w:t xml:space="preserve">Fair Cost of Care item and </w:t>
      </w:r>
      <w:r>
        <w:t xml:space="preserve">discussion at the Board on 30 November 2022. </w:t>
      </w:r>
    </w:p>
    <w:p w14:paraId="4F5EC9AD" w14:textId="66A68AEF"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E870BC7" w14:textId="2A4D0A21" w:rsidR="00D310D3" w:rsidRDefault="00D310D3" w:rsidP="00F8297E">
      <w:pPr>
        <w:pStyle w:val="ListParagraph"/>
        <w:numPr>
          <w:ilvl w:val="0"/>
          <w:numId w:val="28"/>
        </w:numPr>
      </w:pPr>
      <w:r>
        <w:t xml:space="preserve">This policy is exclusive to England and so there </w:t>
      </w:r>
      <w:r w:rsidR="00FD21D4">
        <w:t>are no direct i</w:t>
      </w:r>
      <w:r>
        <w:t xml:space="preserve">mplications for Wales. </w:t>
      </w:r>
    </w:p>
    <w:p w14:paraId="465D35E6" w14:textId="4AB4C2FA" w:rsidR="00E81AC5" w:rsidRPr="002422C3" w:rsidRDefault="00E81AC5" w:rsidP="00AE33E9">
      <w:pPr>
        <w:pStyle w:val="Heading2"/>
        <w:rPr>
          <w:color w:val="auto"/>
        </w:rPr>
      </w:pPr>
      <w:r w:rsidRPr="002422C3">
        <w:rPr>
          <w:color w:val="auto"/>
        </w:rPr>
        <w:t>Financial Implications</w:t>
      </w:r>
    </w:p>
    <w:p w14:paraId="3421F7B8" w14:textId="25296D12" w:rsidR="00522C51" w:rsidRDefault="00522C51" w:rsidP="00F8297E">
      <w:pPr>
        <w:pStyle w:val="ListParagraph"/>
        <w:numPr>
          <w:ilvl w:val="0"/>
          <w:numId w:val="28"/>
        </w:numPr>
      </w:pPr>
      <w:bookmarkStart w:id="1" w:name="_Hlk119688526"/>
      <w:r>
        <w:t xml:space="preserve">There are no specific financial implications as a result of this report. </w:t>
      </w:r>
    </w:p>
    <w:bookmarkEnd w:id="1"/>
    <w:p w14:paraId="43EB3207" w14:textId="2F016AE6"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2048146A" w14:textId="73288742" w:rsidR="00D310D3" w:rsidRDefault="00D310D3" w:rsidP="00F8297E">
      <w:pPr>
        <w:pStyle w:val="ListParagraph"/>
        <w:numPr>
          <w:ilvl w:val="0"/>
          <w:numId w:val="28"/>
        </w:numPr>
      </w:pPr>
      <w:r>
        <w:t>This report does not seek a decision or specific actions that may have equalities implications.</w:t>
      </w:r>
    </w:p>
    <w:p w14:paraId="6168402C" w14:textId="7E3178C2" w:rsidR="00D310D3" w:rsidRDefault="00FD21D4" w:rsidP="00F8297E">
      <w:pPr>
        <w:pStyle w:val="ListParagraph"/>
        <w:ind w:left="454" w:firstLine="0"/>
      </w:pPr>
      <w:r>
        <w:t>C</w:t>
      </w:r>
      <w:r w:rsidR="00D310D3">
        <w:t xml:space="preserve">oncerns have been raised by some people in the sector that areas of social care outside of the scope of these exercise may be de-prioritised or otherwise adversely affected by the focus on domiciliary care for people aged 18+ and care homes for people aged 65+. </w:t>
      </w:r>
    </w:p>
    <w:p w14:paraId="0DD7D346" w14:textId="3DCD1BBC" w:rsidR="00E81AC5" w:rsidRPr="002422C3" w:rsidRDefault="00E81AC5" w:rsidP="00AE33E9">
      <w:pPr>
        <w:pStyle w:val="Heading2"/>
        <w:rPr>
          <w:color w:val="auto"/>
        </w:rPr>
      </w:pPr>
      <w:r w:rsidRPr="002422C3">
        <w:rPr>
          <w:color w:val="auto"/>
        </w:rPr>
        <w:t>Next step</w:t>
      </w:r>
      <w:r w:rsidR="00E73DBE">
        <w:rPr>
          <w:color w:val="auto"/>
        </w:rPr>
        <w:t>s</w:t>
      </w:r>
    </w:p>
    <w:p w14:paraId="798FF059" w14:textId="22BDB132" w:rsidR="00D310D3" w:rsidRDefault="00D310D3" w:rsidP="00F8297E">
      <w:pPr>
        <w:pStyle w:val="ListParagraph"/>
        <w:numPr>
          <w:ilvl w:val="0"/>
          <w:numId w:val="28"/>
        </w:numPr>
      </w:pPr>
      <w:r>
        <w:t>At the Board meeting on 30 November 2022, John Jackson will present an up</w:t>
      </w:r>
      <w:r w:rsidR="00E73DBE">
        <w:t>-</w:t>
      </w:r>
      <w:r>
        <w:t>to</w:t>
      </w:r>
      <w:r w:rsidR="00E73DBE">
        <w:t>-</w:t>
      </w:r>
      <w:r>
        <w:t xml:space="preserve">date position on Fair Cost of Care and discuss the wider policy and financial implications for the sector. </w:t>
      </w:r>
    </w:p>
    <w:p w14:paraId="19415656" w14:textId="1E8A19F1" w:rsidR="00FA1A37" w:rsidRPr="004748F8" w:rsidRDefault="00FA1A37" w:rsidP="00D310D3">
      <w:pPr>
        <w:pStyle w:val="ListParagraph"/>
        <w:ind w:left="454" w:firstLine="0"/>
      </w:pPr>
    </w:p>
    <w:sectPr w:rsidR="00FA1A37" w:rsidRPr="004748F8" w:rsidSect="00376FD5">
      <w:headerReference w:type="default" r:id="rId17"/>
      <w:footerReference w:type="even" r:id="rId18"/>
      <w:headerReference w:type="first" r:id="rId19"/>
      <w:footerReference w:type="first" r:id="rId20"/>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8F9D" w14:textId="77777777" w:rsidR="00E419BD" w:rsidRDefault="00E419BD" w:rsidP="00AD62B2">
      <w:r>
        <w:separator/>
      </w:r>
    </w:p>
  </w:endnote>
  <w:endnote w:type="continuationSeparator" w:id="0">
    <w:p w14:paraId="4AE4C419" w14:textId="77777777" w:rsidR="00E419BD" w:rsidRDefault="00E419BD" w:rsidP="00AD62B2">
      <w:r>
        <w:continuationSeparator/>
      </w:r>
    </w:p>
  </w:endnote>
  <w:endnote w:type="continuationNotice" w:id="1">
    <w:p w14:paraId="555E484D" w14:textId="77777777" w:rsidR="00E419BD" w:rsidRDefault="00E41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02A0" w14:textId="77777777" w:rsidR="00E419BD" w:rsidRDefault="00E419BD" w:rsidP="00AD62B2">
      <w:r>
        <w:separator/>
      </w:r>
    </w:p>
  </w:footnote>
  <w:footnote w:type="continuationSeparator" w:id="0">
    <w:p w14:paraId="1BAD75EC" w14:textId="77777777" w:rsidR="00E419BD" w:rsidRDefault="00E419BD" w:rsidP="00AD62B2">
      <w:r>
        <w:continuationSeparator/>
      </w:r>
    </w:p>
  </w:footnote>
  <w:footnote w:type="continuationNotice" w:id="1">
    <w:p w14:paraId="35E7992B" w14:textId="77777777" w:rsidR="00E419BD" w:rsidRDefault="00E41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C6A3E"/>
    <w:multiLevelType w:val="hybridMultilevel"/>
    <w:tmpl w:val="41720346"/>
    <w:lvl w:ilvl="0" w:tplc="D9D41212">
      <w:start w:val="1"/>
      <w:numFmt w:val="bullet"/>
      <w:lvlText w:val="•"/>
      <w:lvlJc w:val="left"/>
      <w:pPr>
        <w:tabs>
          <w:tab w:val="num" w:pos="720"/>
        </w:tabs>
        <w:ind w:left="720" w:hanging="360"/>
      </w:pPr>
      <w:rPr>
        <w:rFonts w:ascii="Arial" w:hAnsi="Arial" w:hint="default"/>
      </w:rPr>
    </w:lvl>
    <w:lvl w:ilvl="1" w:tplc="B62C452C">
      <w:numFmt w:val="bullet"/>
      <w:lvlText w:val="–"/>
      <w:lvlJc w:val="left"/>
      <w:pPr>
        <w:tabs>
          <w:tab w:val="num" w:pos="1440"/>
        </w:tabs>
        <w:ind w:left="1440" w:hanging="360"/>
      </w:pPr>
      <w:rPr>
        <w:rFonts w:ascii="Arial" w:hAnsi="Arial" w:hint="default"/>
      </w:rPr>
    </w:lvl>
    <w:lvl w:ilvl="2" w:tplc="20B2CE80" w:tentative="1">
      <w:start w:val="1"/>
      <w:numFmt w:val="bullet"/>
      <w:lvlText w:val="•"/>
      <w:lvlJc w:val="left"/>
      <w:pPr>
        <w:tabs>
          <w:tab w:val="num" w:pos="2160"/>
        </w:tabs>
        <w:ind w:left="2160" w:hanging="360"/>
      </w:pPr>
      <w:rPr>
        <w:rFonts w:ascii="Arial" w:hAnsi="Arial" w:hint="default"/>
      </w:rPr>
    </w:lvl>
    <w:lvl w:ilvl="3" w:tplc="ADB4700E" w:tentative="1">
      <w:start w:val="1"/>
      <w:numFmt w:val="bullet"/>
      <w:lvlText w:val="•"/>
      <w:lvlJc w:val="left"/>
      <w:pPr>
        <w:tabs>
          <w:tab w:val="num" w:pos="2880"/>
        </w:tabs>
        <w:ind w:left="2880" w:hanging="360"/>
      </w:pPr>
      <w:rPr>
        <w:rFonts w:ascii="Arial" w:hAnsi="Arial" w:hint="default"/>
      </w:rPr>
    </w:lvl>
    <w:lvl w:ilvl="4" w:tplc="21425E3A" w:tentative="1">
      <w:start w:val="1"/>
      <w:numFmt w:val="bullet"/>
      <w:lvlText w:val="•"/>
      <w:lvlJc w:val="left"/>
      <w:pPr>
        <w:tabs>
          <w:tab w:val="num" w:pos="3600"/>
        </w:tabs>
        <w:ind w:left="3600" w:hanging="360"/>
      </w:pPr>
      <w:rPr>
        <w:rFonts w:ascii="Arial" w:hAnsi="Arial" w:hint="default"/>
      </w:rPr>
    </w:lvl>
    <w:lvl w:ilvl="5" w:tplc="55CCF336" w:tentative="1">
      <w:start w:val="1"/>
      <w:numFmt w:val="bullet"/>
      <w:lvlText w:val="•"/>
      <w:lvlJc w:val="left"/>
      <w:pPr>
        <w:tabs>
          <w:tab w:val="num" w:pos="4320"/>
        </w:tabs>
        <w:ind w:left="4320" w:hanging="360"/>
      </w:pPr>
      <w:rPr>
        <w:rFonts w:ascii="Arial" w:hAnsi="Arial" w:hint="default"/>
      </w:rPr>
    </w:lvl>
    <w:lvl w:ilvl="6" w:tplc="22509A96" w:tentative="1">
      <w:start w:val="1"/>
      <w:numFmt w:val="bullet"/>
      <w:lvlText w:val="•"/>
      <w:lvlJc w:val="left"/>
      <w:pPr>
        <w:tabs>
          <w:tab w:val="num" w:pos="5040"/>
        </w:tabs>
        <w:ind w:left="5040" w:hanging="360"/>
      </w:pPr>
      <w:rPr>
        <w:rFonts w:ascii="Arial" w:hAnsi="Arial" w:hint="default"/>
      </w:rPr>
    </w:lvl>
    <w:lvl w:ilvl="7" w:tplc="E57C89EC" w:tentative="1">
      <w:start w:val="1"/>
      <w:numFmt w:val="bullet"/>
      <w:lvlText w:val="•"/>
      <w:lvlJc w:val="left"/>
      <w:pPr>
        <w:tabs>
          <w:tab w:val="num" w:pos="5760"/>
        </w:tabs>
        <w:ind w:left="5760" w:hanging="360"/>
      </w:pPr>
      <w:rPr>
        <w:rFonts w:ascii="Arial" w:hAnsi="Arial" w:hint="default"/>
      </w:rPr>
    </w:lvl>
    <w:lvl w:ilvl="8" w:tplc="AB6E13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8485574"/>
    <w:multiLevelType w:val="hybridMultilevel"/>
    <w:tmpl w:val="34AACA02"/>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12" w15:restartNumberingAfterBreak="0">
    <w:nsid w:val="1B3A41AA"/>
    <w:multiLevelType w:val="hybridMultilevel"/>
    <w:tmpl w:val="A1D039F2"/>
    <w:lvl w:ilvl="0" w:tplc="53DA4A3E">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3" w15:restartNumberingAfterBreak="0">
    <w:nsid w:val="1C1803E0"/>
    <w:multiLevelType w:val="hybridMultilevel"/>
    <w:tmpl w:val="E1B0BD72"/>
    <w:lvl w:ilvl="0" w:tplc="62FE45C4">
      <w:start w:val="1"/>
      <w:numFmt w:val="lowerRoman"/>
      <w:lvlText w:val="%1)"/>
      <w:lvlJc w:val="left"/>
      <w:pPr>
        <w:ind w:left="1854" w:hanging="720"/>
      </w:pPr>
      <w:rPr>
        <w:rFonts w:eastAsia="MS PGothic"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C343E17"/>
    <w:multiLevelType w:val="hybridMultilevel"/>
    <w:tmpl w:val="735AB878"/>
    <w:lvl w:ilvl="0" w:tplc="4CF6FF44">
      <w:start w:val="1"/>
      <w:numFmt w:val="bullet"/>
      <w:lvlText w:val="•"/>
      <w:lvlJc w:val="left"/>
      <w:pPr>
        <w:tabs>
          <w:tab w:val="num" w:pos="720"/>
        </w:tabs>
        <w:ind w:left="720" w:hanging="360"/>
      </w:pPr>
      <w:rPr>
        <w:rFonts w:ascii="Arial" w:hAnsi="Arial" w:hint="default"/>
      </w:rPr>
    </w:lvl>
    <w:lvl w:ilvl="1" w:tplc="565EE640" w:tentative="1">
      <w:start w:val="1"/>
      <w:numFmt w:val="bullet"/>
      <w:lvlText w:val="•"/>
      <w:lvlJc w:val="left"/>
      <w:pPr>
        <w:tabs>
          <w:tab w:val="num" w:pos="1440"/>
        </w:tabs>
        <w:ind w:left="1440" w:hanging="360"/>
      </w:pPr>
      <w:rPr>
        <w:rFonts w:ascii="Arial" w:hAnsi="Arial" w:hint="default"/>
      </w:rPr>
    </w:lvl>
    <w:lvl w:ilvl="2" w:tplc="D1727C70" w:tentative="1">
      <w:start w:val="1"/>
      <w:numFmt w:val="bullet"/>
      <w:lvlText w:val="•"/>
      <w:lvlJc w:val="left"/>
      <w:pPr>
        <w:tabs>
          <w:tab w:val="num" w:pos="2160"/>
        </w:tabs>
        <w:ind w:left="2160" w:hanging="360"/>
      </w:pPr>
      <w:rPr>
        <w:rFonts w:ascii="Arial" w:hAnsi="Arial" w:hint="default"/>
      </w:rPr>
    </w:lvl>
    <w:lvl w:ilvl="3" w:tplc="494AF0F0" w:tentative="1">
      <w:start w:val="1"/>
      <w:numFmt w:val="bullet"/>
      <w:lvlText w:val="•"/>
      <w:lvlJc w:val="left"/>
      <w:pPr>
        <w:tabs>
          <w:tab w:val="num" w:pos="2880"/>
        </w:tabs>
        <w:ind w:left="2880" w:hanging="360"/>
      </w:pPr>
      <w:rPr>
        <w:rFonts w:ascii="Arial" w:hAnsi="Arial" w:hint="default"/>
      </w:rPr>
    </w:lvl>
    <w:lvl w:ilvl="4" w:tplc="D66A3616" w:tentative="1">
      <w:start w:val="1"/>
      <w:numFmt w:val="bullet"/>
      <w:lvlText w:val="•"/>
      <w:lvlJc w:val="left"/>
      <w:pPr>
        <w:tabs>
          <w:tab w:val="num" w:pos="3600"/>
        </w:tabs>
        <w:ind w:left="3600" w:hanging="360"/>
      </w:pPr>
      <w:rPr>
        <w:rFonts w:ascii="Arial" w:hAnsi="Arial" w:hint="default"/>
      </w:rPr>
    </w:lvl>
    <w:lvl w:ilvl="5" w:tplc="6D78162A" w:tentative="1">
      <w:start w:val="1"/>
      <w:numFmt w:val="bullet"/>
      <w:lvlText w:val="•"/>
      <w:lvlJc w:val="left"/>
      <w:pPr>
        <w:tabs>
          <w:tab w:val="num" w:pos="4320"/>
        </w:tabs>
        <w:ind w:left="4320" w:hanging="360"/>
      </w:pPr>
      <w:rPr>
        <w:rFonts w:ascii="Arial" w:hAnsi="Arial" w:hint="default"/>
      </w:rPr>
    </w:lvl>
    <w:lvl w:ilvl="6" w:tplc="B1CC610A" w:tentative="1">
      <w:start w:val="1"/>
      <w:numFmt w:val="bullet"/>
      <w:lvlText w:val="•"/>
      <w:lvlJc w:val="left"/>
      <w:pPr>
        <w:tabs>
          <w:tab w:val="num" w:pos="5040"/>
        </w:tabs>
        <w:ind w:left="5040" w:hanging="360"/>
      </w:pPr>
      <w:rPr>
        <w:rFonts w:ascii="Arial" w:hAnsi="Arial" w:hint="default"/>
      </w:rPr>
    </w:lvl>
    <w:lvl w:ilvl="7" w:tplc="232A561C" w:tentative="1">
      <w:start w:val="1"/>
      <w:numFmt w:val="bullet"/>
      <w:lvlText w:val="•"/>
      <w:lvlJc w:val="left"/>
      <w:pPr>
        <w:tabs>
          <w:tab w:val="num" w:pos="5760"/>
        </w:tabs>
        <w:ind w:left="5760" w:hanging="360"/>
      </w:pPr>
      <w:rPr>
        <w:rFonts w:ascii="Arial" w:hAnsi="Arial" w:hint="default"/>
      </w:rPr>
    </w:lvl>
    <w:lvl w:ilvl="8" w:tplc="F2E01E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DC32D7"/>
    <w:multiLevelType w:val="hybridMultilevel"/>
    <w:tmpl w:val="4D786F04"/>
    <w:lvl w:ilvl="0" w:tplc="625CF760">
      <w:start w:val="1"/>
      <w:numFmt w:val="bullet"/>
      <w:lvlText w:val="•"/>
      <w:lvlJc w:val="left"/>
      <w:pPr>
        <w:tabs>
          <w:tab w:val="num" w:pos="720"/>
        </w:tabs>
        <w:ind w:left="720" w:hanging="360"/>
      </w:pPr>
      <w:rPr>
        <w:rFonts w:ascii="Arial" w:hAnsi="Arial" w:hint="default"/>
      </w:rPr>
    </w:lvl>
    <w:lvl w:ilvl="1" w:tplc="B7888E84" w:tentative="1">
      <w:start w:val="1"/>
      <w:numFmt w:val="bullet"/>
      <w:lvlText w:val="•"/>
      <w:lvlJc w:val="left"/>
      <w:pPr>
        <w:tabs>
          <w:tab w:val="num" w:pos="1440"/>
        </w:tabs>
        <w:ind w:left="1440" w:hanging="360"/>
      </w:pPr>
      <w:rPr>
        <w:rFonts w:ascii="Arial" w:hAnsi="Arial" w:hint="default"/>
      </w:rPr>
    </w:lvl>
    <w:lvl w:ilvl="2" w:tplc="F146907A" w:tentative="1">
      <w:start w:val="1"/>
      <w:numFmt w:val="bullet"/>
      <w:lvlText w:val="•"/>
      <w:lvlJc w:val="left"/>
      <w:pPr>
        <w:tabs>
          <w:tab w:val="num" w:pos="2160"/>
        </w:tabs>
        <w:ind w:left="2160" w:hanging="360"/>
      </w:pPr>
      <w:rPr>
        <w:rFonts w:ascii="Arial" w:hAnsi="Arial" w:hint="default"/>
      </w:rPr>
    </w:lvl>
    <w:lvl w:ilvl="3" w:tplc="23D4DEBE" w:tentative="1">
      <w:start w:val="1"/>
      <w:numFmt w:val="bullet"/>
      <w:lvlText w:val="•"/>
      <w:lvlJc w:val="left"/>
      <w:pPr>
        <w:tabs>
          <w:tab w:val="num" w:pos="2880"/>
        </w:tabs>
        <w:ind w:left="2880" w:hanging="360"/>
      </w:pPr>
      <w:rPr>
        <w:rFonts w:ascii="Arial" w:hAnsi="Arial" w:hint="default"/>
      </w:rPr>
    </w:lvl>
    <w:lvl w:ilvl="4" w:tplc="CA5A720A" w:tentative="1">
      <w:start w:val="1"/>
      <w:numFmt w:val="bullet"/>
      <w:lvlText w:val="•"/>
      <w:lvlJc w:val="left"/>
      <w:pPr>
        <w:tabs>
          <w:tab w:val="num" w:pos="3600"/>
        </w:tabs>
        <w:ind w:left="3600" w:hanging="360"/>
      </w:pPr>
      <w:rPr>
        <w:rFonts w:ascii="Arial" w:hAnsi="Arial" w:hint="default"/>
      </w:rPr>
    </w:lvl>
    <w:lvl w:ilvl="5" w:tplc="7C3EB51A" w:tentative="1">
      <w:start w:val="1"/>
      <w:numFmt w:val="bullet"/>
      <w:lvlText w:val="•"/>
      <w:lvlJc w:val="left"/>
      <w:pPr>
        <w:tabs>
          <w:tab w:val="num" w:pos="4320"/>
        </w:tabs>
        <w:ind w:left="4320" w:hanging="360"/>
      </w:pPr>
      <w:rPr>
        <w:rFonts w:ascii="Arial" w:hAnsi="Arial" w:hint="default"/>
      </w:rPr>
    </w:lvl>
    <w:lvl w:ilvl="6" w:tplc="54BC3538" w:tentative="1">
      <w:start w:val="1"/>
      <w:numFmt w:val="bullet"/>
      <w:lvlText w:val="•"/>
      <w:lvlJc w:val="left"/>
      <w:pPr>
        <w:tabs>
          <w:tab w:val="num" w:pos="5040"/>
        </w:tabs>
        <w:ind w:left="5040" w:hanging="360"/>
      </w:pPr>
      <w:rPr>
        <w:rFonts w:ascii="Arial" w:hAnsi="Arial" w:hint="default"/>
      </w:rPr>
    </w:lvl>
    <w:lvl w:ilvl="7" w:tplc="EED4FFCE" w:tentative="1">
      <w:start w:val="1"/>
      <w:numFmt w:val="bullet"/>
      <w:lvlText w:val="•"/>
      <w:lvlJc w:val="left"/>
      <w:pPr>
        <w:tabs>
          <w:tab w:val="num" w:pos="5760"/>
        </w:tabs>
        <w:ind w:left="5760" w:hanging="360"/>
      </w:pPr>
      <w:rPr>
        <w:rFonts w:ascii="Arial" w:hAnsi="Arial" w:hint="default"/>
      </w:rPr>
    </w:lvl>
    <w:lvl w:ilvl="8" w:tplc="0B12F4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D3392B"/>
    <w:multiLevelType w:val="hybridMultilevel"/>
    <w:tmpl w:val="D706A73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C97D74"/>
    <w:multiLevelType w:val="hybridMultilevel"/>
    <w:tmpl w:val="2C981036"/>
    <w:lvl w:ilvl="0" w:tplc="2E48CF1C">
      <w:start w:val="1"/>
      <w:numFmt w:val="bullet"/>
      <w:lvlText w:val="•"/>
      <w:lvlJc w:val="left"/>
      <w:pPr>
        <w:tabs>
          <w:tab w:val="num" w:pos="720"/>
        </w:tabs>
        <w:ind w:left="720" w:hanging="360"/>
      </w:pPr>
      <w:rPr>
        <w:rFonts w:ascii="Arial" w:hAnsi="Arial" w:hint="default"/>
      </w:rPr>
    </w:lvl>
    <w:lvl w:ilvl="1" w:tplc="DA12A56A">
      <w:numFmt w:val="bullet"/>
      <w:lvlText w:val="–"/>
      <w:lvlJc w:val="left"/>
      <w:pPr>
        <w:tabs>
          <w:tab w:val="num" w:pos="1440"/>
        </w:tabs>
        <w:ind w:left="1440" w:hanging="360"/>
      </w:pPr>
      <w:rPr>
        <w:rFonts w:ascii="Arial" w:hAnsi="Arial" w:hint="default"/>
      </w:rPr>
    </w:lvl>
    <w:lvl w:ilvl="2" w:tplc="81B8E3CE" w:tentative="1">
      <w:start w:val="1"/>
      <w:numFmt w:val="bullet"/>
      <w:lvlText w:val="•"/>
      <w:lvlJc w:val="left"/>
      <w:pPr>
        <w:tabs>
          <w:tab w:val="num" w:pos="2160"/>
        </w:tabs>
        <w:ind w:left="2160" w:hanging="360"/>
      </w:pPr>
      <w:rPr>
        <w:rFonts w:ascii="Arial" w:hAnsi="Arial" w:hint="default"/>
      </w:rPr>
    </w:lvl>
    <w:lvl w:ilvl="3" w:tplc="DA20974E" w:tentative="1">
      <w:start w:val="1"/>
      <w:numFmt w:val="bullet"/>
      <w:lvlText w:val="•"/>
      <w:lvlJc w:val="left"/>
      <w:pPr>
        <w:tabs>
          <w:tab w:val="num" w:pos="2880"/>
        </w:tabs>
        <w:ind w:left="2880" w:hanging="360"/>
      </w:pPr>
      <w:rPr>
        <w:rFonts w:ascii="Arial" w:hAnsi="Arial" w:hint="default"/>
      </w:rPr>
    </w:lvl>
    <w:lvl w:ilvl="4" w:tplc="F0603DA6" w:tentative="1">
      <w:start w:val="1"/>
      <w:numFmt w:val="bullet"/>
      <w:lvlText w:val="•"/>
      <w:lvlJc w:val="left"/>
      <w:pPr>
        <w:tabs>
          <w:tab w:val="num" w:pos="3600"/>
        </w:tabs>
        <w:ind w:left="3600" w:hanging="360"/>
      </w:pPr>
      <w:rPr>
        <w:rFonts w:ascii="Arial" w:hAnsi="Arial" w:hint="default"/>
      </w:rPr>
    </w:lvl>
    <w:lvl w:ilvl="5" w:tplc="9C1A1EF0" w:tentative="1">
      <w:start w:val="1"/>
      <w:numFmt w:val="bullet"/>
      <w:lvlText w:val="•"/>
      <w:lvlJc w:val="left"/>
      <w:pPr>
        <w:tabs>
          <w:tab w:val="num" w:pos="4320"/>
        </w:tabs>
        <w:ind w:left="4320" w:hanging="360"/>
      </w:pPr>
      <w:rPr>
        <w:rFonts w:ascii="Arial" w:hAnsi="Arial" w:hint="default"/>
      </w:rPr>
    </w:lvl>
    <w:lvl w:ilvl="6" w:tplc="2398D20A" w:tentative="1">
      <w:start w:val="1"/>
      <w:numFmt w:val="bullet"/>
      <w:lvlText w:val="•"/>
      <w:lvlJc w:val="left"/>
      <w:pPr>
        <w:tabs>
          <w:tab w:val="num" w:pos="5040"/>
        </w:tabs>
        <w:ind w:left="5040" w:hanging="360"/>
      </w:pPr>
      <w:rPr>
        <w:rFonts w:ascii="Arial" w:hAnsi="Arial" w:hint="default"/>
      </w:rPr>
    </w:lvl>
    <w:lvl w:ilvl="7" w:tplc="4FACFC8E" w:tentative="1">
      <w:start w:val="1"/>
      <w:numFmt w:val="bullet"/>
      <w:lvlText w:val="•"/>
      <w:lvlJc w:val="left"/>
      <w:pPr>
        <w:tabs>
          <w:tab w:val="num" w:pos="5760"/>
        </w:tabs>
        <w:ind w:left="5760" w:hanging="360"/>
      </w:pPr>
      <w:rPr>
        <w:rFonts w:ascii="Arial" w:hAnsi="Arial" w:hint="default"/>
      </w:rPr>
    </w:lvl>
    <w:lvl w:ilvl="8" w:tplc="7C8C95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1D01D0"/>
    <w:multiLevelType w:val="multilevel"/>
    <w:tmpl w:val="D97278B6"/>
    <w:lvl w:ilvl="0">
      <w:start w:val="1"/>
      <w:numFmt w:val="decimal"/>
      <w:lvlText w:val="%1."/>
      <w:lvlJc w:val="left"/>
      <w:pPr>
        <w:ind w:left="454" w:hanging="454"/>
      </w:pPr>
      <w:rPr>
        <w:rFonts w:hint="default"/>
        <w:b w:val="0"/>
        <w:bCs w:val="0"/>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1F7A01"/>
    <w:multiLevelType w:val="hybridMultilevel"/>
    <w:tmpl w:val="A0E265C4"/>
    <w:lvl w:ilvl="0" w:tplc="A7FC00CC">
      <w:start w:val="1"/>
      <w:numFmt w:val="bullet"/>
      <w:lvlText w:val="•"/>
      <w:lvlJc w:val="left"/>
      <w:pPr>
        <w:tabs>
          <w:tab w:val="num" w:pos="720"/>
        </w:tabs>
        <w:ind w:left="720" w:hanging="360"/>
      </w:pPr>
      <w:rPr>
        <w:rFonts w:ascii="Arial" w:hAnsi="Arial" w:hint="default"/>
      </w:rPr>
    </w:lvl>
    <w:lvl w:ilvl="1" w:tplc="F20C7714" w:tentative="1">
      <w:start w:val="1"/>
      <w:numFmt w:val="bullet"/>
      <w:lvlText w:val="•"/>
      <w:lvlJc w:val="left"/>
      <w:pPr>
        <w:tabs>
          <w:tab w:val="num" w:pos="1440"/>
        </w:tabs>
        <w:ind w:left="1440" w:hanging="360"/>
      </w:pPr>
      <w:rPr>
        <w:rFonts w:ascii="Arial" w:hAnsi="Arial" w:hint="default"/>
      </w:rPr>
    </w:lvl>
    <w:lvl w:ilvl="2" w:tplc="A35A44E4" w:tentative="1">
      <w:start w:val="1"/>
      <w:numFmt w:val="bullet"/>
      <w:lvlText w:val="•"/>
      <w:lvlJc w:val="left"/>
      <w:pPr>
        <w:tabs>
          <w:tab w:val="num" w:pos="2160"/>
        </w:tabs>
        <w:ind w:left="2160" w:hanging="360"/>
      </w:pPr>
      <w:rPr>
        <w:rFonts w:ascii="Arial" w:hAnsi="Arial" w:hint="default"/>
      </w:rPr>
    </w:lvl>
    <w:lvl w:ilvl="3" w:tplc="72627860" w:tentative="1">
      <w:start w:val="1"/>
      <w:numFmt w:val="bullet"/>
      <w:lvlText w:val="•"/>
      <w:lvlJc w:val="left"/>
      <w:pPr>
        <w:tabs>
          <w:tab w:val="num" w:pos="2880"/>
        </w:tabs>
        <w:ind w:left="2880" w:hanging="360"/>
      </w:pPr>
      <w:rPr>
        <w:rFonts w:ascii="Arial" w:hAnsi="Arial" w:hint="default"/>
      </w:rPr>
    </w:lvl>
    <w:lvl w:ilvl="4" w:tplc="5E62536A" w:tentative="1">
      <w:start w:val="1"/>
      <w:numFmt w:val="bullet"/>
      <w:lvlText w:val="•"/>
      <w:lvlJc w:val="left"/>
      <w:pPr>
        <w:tabs>
          <w:tab w:val="num" w:pos="3600"/>
        </w:tabs>
        <w:ind w:left="3600" w:hanging="360"/>
      </w:pPr>
      <w:rPr>
        <w:rFonts w:ascii="Arial" w:hAnsi="Arial" w:hint="default"/>
      </w:rPr>
    </w:lvl>
    <w:lvl w:ilvl="5" w:tplc="671CF4E4" w:tentative="1">
      <w:start w:val="1"/>
      <w:numFmt w:val="bullet"/>
      <w:lvlText w:val="•"/>
      <w:lvlJc w:val="left"/>
      <w:pPr>
        <w:tabs>
          <w:tab w:val="num" w:pos="4320"/>
        </w:tabs>
        <w:ind w:left="4320" w:hanging="360"/>
      </w:pPr>
      <w:rPr>
        <w:rFonts w:ascii="Arial" w:hAnsi="Arial" w:hint="default"/>
      </w:rPr>
    </w:lvl>
    <w:lvl w:ilvl="6" w:tplc="4FACCA54" w:tentative="1">
      <w:start w:val="1"/>
      <w:numFmt w:val="bullet"/>
      <w:lvlText w:val="•"/>
      <w:lvlJc w:val="left"/>
      <w:pPr>
        <w:tabs>
          <w:tab w:val="num" w:pos="5040"/>
        </w:tabs>
        <w:ind w:left="5040" w:hanging="360"/>
      </w:pPr>
      <w:rPr>
        <w:rFonts w:ascii="Arial" w:hAnsi="Arial" w:hint="default"/>
      </w:rPr>
    </w:lvl>
    <w:lvl w:ilvl="7" w:tplc="74C2B5AE" w:tentative="1">
      <w:start w:val="1"/>
      <w:numFmt w:val="bullet"/>
      <w:lvlText w:val="•"/>
      <w:lvlJc w:val="left"/>
      <w:pPr>
        <w:tabs>
          <w:tab w:val="num" w:pos="5760"/>
        </w:tabs>
        <w:ind w:left="5760" w:hanging="360"/>
      </w:pPr>
      <w:rPr>
        <w:rFonts w:ascii="Arial" w:hAnsi="Arial" w:hint="default"/>
      </w:rPr>
    </w:lvl>
    <w:lvl w:ilvl="8" w:tplc="859EA3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920A02"/>
    <w:multiLevelType w:val="multilevel"/>
    <w:tmpl w:val="D97278B6"/>
    <w:lvl w:ilvl="0">
      <w:start w:val="1"/>
      <w:numFmt w:val="decimal"/>
      <w:lvlText w:val="%1."/>
      <w:lvlJc w:val="left"/>
      <w:pPr>
        <w:ind w:left="454" w:hanging="454"/>
      </w:pPr>
      <w:rPr>
        <w:rFonts w:hint="default"/>
        <w:b w:val="0"/>
        <w:bCs w:val="0"/>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E64BC2"/>
    <w:multiLevelType w:val="hybridMultilevel"/>
    <w:tmpl w:val="3F4EF842"/>
    <w:lvl w:ilvl="0" w:tplc="90A8EA62">
      <w:start w:val="1"/>
      <w:numFmt w:val="bullet"/>
      <w:lvlText w:val="•"/>
      <w:lvlJc w:val="left"/>
      <w:pPr>
        <w:tabs>
          <w:tab w:val="num" w:pos="720"/>
        </w:tabs>
        <w:ind w:left="720" w:hanging="360"/>
      </w:pPr>
      <w:rPr>
        <w:rFonts w:ascii="Arial" w:hAnsi="Arial" w:hint="default"/>
      </w:rPr>
    </w:lvl>
    <w:lvl w:ilvl="1" w:tplc="6BB8007E">
      <w:start w:val="1"/>
      <w:numFmt w:val="bullet"/>
      <w:lvlText w:val="•"/>
      <w:lvlJc w:val="left"/>
      <w:pPr>
        <w:tabs>
          <w:tab w:val="num" w:pos="1440"/>
        </w:tabs>
        <w:ind w:left="1440" w:hanging="360"/>
      </w:pPr>
      <w:rPr>
        <w:rFonts w:ascii="Arial" w:hAnsi="Arial" w:hint="default"/>
      </w:rPr>
    </w:lvl>
    <w:lvl w:ilvl="2" w:tplc="21A050B6" w:tentative="1">
      <w:start w:val="1"/>
      <w:numFmt w:val="bullet"/>
      <w:lvlText w:val="•"/>
      <w:lvlJc w:val="left"/>
      <w:pPr>
        <w:tabs>
          <w:tab w:val="num" w:pos="2160"/>
        </w:tabs>
        <w:ind w:left="2160" w:hanging="360"/>
      </w:pPr>
      <w:rPr>
        <w:rFonts w:ascii="Arial" w:hAnsi="Arial" w:hint="default"/>
      </w:rPr>
    </w:lvl>
    <w:lvl w:ilvl="3" w:tplc="D110CDEA" w:tentative="1">
      <w:start w:val="1"/>
      <w:numFmt w:val="bullet"/>
      <w:lvlText w:val="•"/>
      <w:lvlJc w:val="left"/>
      <w:pPr>
        <w:tabs>
          <w:tab w:val="num" w:pos="2880"/>
        </w:tabs>
        <w:ind w:left="2880" w:hanging="360"/>
      </w:pPr>
      <w:rPr>
        <w:rFonts w:ascii="Arial" w:hAnsi="Arial" w:hint="default"/>
      </w:rPr>
    </w:lvl>
    <w:lvl w:ilvl="4" w:tplc="46127BBE" w:tentative="1">
      <w:start w:val="1"/>
      <w:numFmt w:val="bullet"/>
      <w:lvlText w:val="•"/>
      <w:lvlJc w:val="left"/>
      <w:pPr>
        <w:tabs>
          <w:tab w:val="num" w:pos="3600"/>
        </w:tabs>
        <w:ind w:left="3600" w:hanging="360"/>
      </w:pPr>
      <w:rPr>
        <w:rFonts w:ascii="Arial" w:hAnsi="Arial" w:hint="default"/>
      </w:rPr>
    </w:lvl>
    <w:lvl w:ilvl="5" w:tplc="B54E1C6C" w:tentative="1">
      <w:start w:val="1"/>
      <w:numFmt w:val="bullet"/>
      <w:lvlText w:val="•"/>
      <w:lvlJc w:val="left"/>
      <w:pPr>
        <w:tabs>
          <w:tab w:val="num" w:pos="4320"/>
        </w:tabs>
        <w:ind w:left="4320" w:hanging="360"/>
      </w:pPr>
      <w:rPr>
        <w:rFonts w:ascii="Arial" w:hAnsi="Arial" w:hint="default"/>
      </w:rPr>
    </w:lvl>
    <w:lvl w:ilvl="6" w:tplc="AC247D48" w:tentative="1">
      <w:start w:val="1"/>
      <w:numFmt w:val="bullet"/>
      <w:lvlText w:val="•"/>
      <w:lvlJc w:val="left"/>
      <w:pPr>
        <w:tabs>
          <w:tab w:val="num" w:pos="5040"/>
        </w:tabs>
        <w:ind w:left="5040" w:hanging="360"/>
      </w:pPr>
      <w:rPr>
        <w:rFonts w:ascii="Arial" w:hAnsi="Arial" w:hint="default"/>
      </w:rPr>
    </w:lvl>
    <w:lvl w:ilvl="7" w:tplc="B04CDEA0" w:tentative="1">
      <w:start w:val="1"/>
      <w:numFmt w:val="bullet"/>
      <w:lvlText w:val="•"/>
      <w:lvlJc w:val="left"/>
      <w:pPr>
        <w:tabs>
          <w:tab w:val="num" w:pos="5760"/>
        </w:tabs>
        <w:ind w:left="5760" w:hanging="360"/>
      </w:pPr>
      <w:rPr>
        <w:rFonts w:ascii="Arial" w:hAnsi="Arial" w:hint="default"/>
      </w:rPr>
    </w:lvl>
    <w:lvl w:ilvl="8" w:tplc="478C50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8"/>
  </w:num>
  <w:num w:numId="3">
    <w:abstractNumId w:val="26"/>
  </w:num>
  <w:num w:numId="4">
    <w:abstractNumId w:val="24"/>
  </w:num>
  <w:num w:numId="5">
    <w:abstractNumId w:val="18"/>
  </w:num>
  <w:num w:numId="6">
    <w:abstractNumId w:val="17"/>
  </w:num>
  <w:num w:numId="7">
    <w:abstractNumId w:val="21"/>
  </w:num>
  <w:num w:numId="8">
    <w:abstractNumId w:val="29"/>
  </w:num>
  <w:num w:numId="9">
    <w:abstractNumId w:val="25"/>
  </w:num>
  <w:num w:numId="10">
    <w:abstractNumId w:val="2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22"/>
  </w:num>
  <w:num w:numId="22">
    <w:abstractNumId w:val="10"/>
  </w:num>
  <w:num w:numId="23">
    <w:abstractNumId w:val="15"/>
  </w:num>
  <w:num w:numId="24">
    <w:abstractNumId w:val="19"/>
  </w:num>
  <w:num w:numId="25">
    <w:abstractNumId w:val="14"/>
  </w:num>
  <w:num w:numId="26">
    <w:abstractNumId w:val="12"/>
  </w:num>
  <w:num w:numId="27">
    <w:abstractNumId w:val="13"/>
  </w:num>
  <w:num w:numId="28">
    <w:abstractNumId w:val="20"/>
  </w:num>
  <w:num w:numId="29">
    <w:abstractNumId w:val="16"/>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A3930"/>
    <w:rsid w:val="000A46DA"/>
    <w:rsid w:val="000C083B"/>
    <w:rsid w:val="000C67F4"/>
    <w:rsid w:val="000D007C"/>
    <w:rsid w:val="000F5D79"/>
    <w:rsid w:val="00101F83"/>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A1977"/>
    <w:rsid w:val="001B6714"/>
    <w:rsid w:val="001C0B7F"/>
    <w:rsid w:val="001C2D2F"/>
    <w:rsid w:val="001C403B"/>
    <w:rsid w:val="001C7965"/>
    <w:rsid w:val="001D0BC8"/>
    <w:rsid w:val="001D0E03"/>
    <w:rsid w:val="001E4FE0"/>
    <w:rsid w:val="001F77A5"/>
    <w:rsid w:val="0020025E"/>
    <w:rsid w:val="00200C4B"/>
    <w:rsid w:val="00201BBD"/>
    <w:rsid w:val="00202AA9"/>
    <w:rsid w:val="002240F4"/>
    <w:rsid w:val="0022517A"/>
    <w:rsid w:val="002269B0"/>
    <w:rsid w:val="002422C3"/>
    <w:rsid w:val="00254CC6"/>
    <w:rsid w:val="0028316C"/>
    <w:rsid w:val="00290C6F"/>
    <w:rsid w:val="00292FD7"/>
    <w:rsid w:val="002954FA"/>
    <w:rsid w:val="002A7C7F"/>
    <w:rsid w:val="002C7020"/>
    <w:rsid w:val="002C7104"/>
    <w:rsid w:val="002D013E"/>
    <w:rsid w:val="002D4F8A"/>
    <w:rsid w:val="002E3791"/>
    <w:rsid w:val="0030031B"/>
    <w:rsid w:val="00302864"/>
    <w:rsid w:val="00305796"/>
    <w:rsid w:val="003137E0"/>
    <w:rsid w:val="00321249"/>
    <w:rsid w:val="00325289"/>
    <w:rsid w:val="00331707"/>
    <w:rsid w:val="003370E4"/>
    <w:rsid w:val="00351271"/>
    <w:rsid w:val="003566B0"/>
    <w:rsid w:val="00357547"/>
    <w:rsid w:val="00363F09"/>
    <w:rsid w:val="00365015"/>
    <w:rsid w:val="00371E87"/>
    <w:rsid w:val="003737D0"/>
    <w:rsid w:val="00375F9A"/>
    <w:rsid w:val="00376FD5"/>
    <w:rsid w:val="00385D68"/>
    <w:rsid w:val="0039168F"/>
    <w:rsid w:val="00395AD4"/>
    <w:rsid w:val="00397C7B"/>
    <w:rsid w:val="003A15A7"/>
    <w:rsid w:val="003A7E51"/>
    <w:rsid w:val="003C2D81"/>
    <w:rsid w:val="003D1170"/>
    <w:rsid w:val="003D55B7"/>
    <w:rsid w:val="003E42B8"/>
    <w:rsid w:val="003F3A6C"/>
    <w:rsid w:val="00400A51"/>
    <w:rsid w:val="004026A7"/>
    <w:rsid w:val="00425C92"/>
    <w:rsid w:val="00447DCB"/>
    <w:rsid w:val="0045278B"/>
    <w:rsid w:val="0047422A"/>
    <w:rsid w:val="004748F8"/>
    <w:rsid w:val="004812FF"/>
    <w:rsid w:val="004813F5"/>
    <w:rsid w:val="00481F27"/>
    <w:rsid w:val="00486944"/>
    <w:rsid w:val="00496C84"/>
    <w:rsid w:val="004A550F"/>
    <w:rsid w:val="004B0B49"/>
    <w:rsid w:val="004C0E85"/>
    <w:rsid w:val="004C1903"/>
    <w:rsid w:val="004D736A"/>
    <w:rsid w:val="004E09CD"/>
    <w:rsid w:val="004E2432"/>
    <w:rsid w:val="004F68A2"/>
    <w:rsid w:val="00503519"/>
    <w:rsid w:val="00503754"/>
    <w:rsid w:val="00503B49"/>
    <w:rsid w:val="00516DF0"/>
    <w:rsid w:val="00522C51"/>
    <w:rsid w:val="00526D9F"/>
    <w:rsid w:val="00527D6E"/>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9481E"/>
    <w:rsid w:val="006A0790"/>
    <w:rsid w:val="006B1898"/>
    <w:rsid w:val="006C088E"/>
    <w:rsid w:val="006C70DE"/>
    <w:rsid w:val="006E432A"/>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2786"/>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22B84"/>
    <w:rsid w:val="008332C5"/>
    <w:rsid w:val="00842651"/>
    <w:rsid w:val="00847148"/>
    <w:rsid w:val="00847890"/>
    <w:rsid w:val="00880C7A"/>
    <w:rsid w:val="0088301E"/>
    <w:rsid w:val="00885D1D"/>
    <w:rsid w:val="008905DD"/>
    <w:rsid w:val="0089382D"/>
    <w:rsid w:val="00895969"/>
    <w:rsid w:val="008A5A73"/>
    <w:rsid w:val="008B2E69"/>
    <w:rsid w:val="008B5701"/>
    <w:rsid w:val="008C33DB"/>
    <w:rsid w:val="008C7AEC"/>
    <w:rsid w:val="008D071E"/>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80EFD"/>
    <w:rsid w:val="009846C6"/>
    <w:rsid w:val="0098520D"/>
    <w:rsid w:val="00987523"/>
    <w:rsid w:val="009878BD"/>
    <w:rsid w:val="00987B43"/>
    <w:rsid w:val="009A2A70"/>
    <w:rsid w:val="009A6C11"/>
    <w:rsid w:val="009C0A70"/>
    <w:rsid w:val="009C5246"/>
    <w:rsid w:val="009C6E89"/>
    <w:rsid w:val="009D274E"/>
    <w:rsid w:val="009D6442"/>
    <w:rsid w:val="009D77EE"/>
    <w:rsid w:val="009E1F5B"/>
    <w:rsid w:val="009E2623"/>
    <w:rsid w:val="009E3E52"/>
    <w:rsid w:val="009E5E45"/>
    <w:rsid w:val="009E6111"/>
    <w:rsid w:val="009F1F4A"/>
    <w:rsid w:val="00A02CAC"/>
    <w:rsid w:val="00A247CC"/>
    <w:rsid w:val="00A42B71"/>
    <w:rsid w:val="00A60982"/>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43FC6"/>
    <w:rsid w:val="00B56823"/>
    <w:rsid w:val="00B632F8"/>
    <w:rsid w:val="00B632FD"/>
    <w:rsid w:val="00B6379A"/>
    <w:rsid w:val="00B675FD"/>
    <w:rsid w:val="00B754E7"/>
    <w:rsid w:val="00B81E51"/>
    <w:rsid w:val="00B826E5"/>
    <w:rsid w:val="00B872F6"/>
    <w:rsid w:val="00BA10BE"/>
    <w:rsid w:val="00BA5321"/>
    <w:rsid w:val="00BC1F12"/>
    <w:rsid w:val="00BC3CE2"/>
    <w:rsid w:val="00BC6B2D"/>
    <w:rsid w:val="00BD5521"/>
    <w:rsid w:val="00BE0ACB"/>
    <w:rsid w:val="00C04A36"/>
    <w:rsid w:val="00C22A6C"/>
    <w:rsid w:val="00C51037"/>
    <w:rsid w:val="00C55AED"/>
    <w:rsid w:val="00C629EB"/>
    <w:rsid w:val="00C64EDF"/>
    <w:rsid w:val="00C77025"/>
    <w:rsid w:val="00C84BCF"/>
    <w:rsid w:val="00C9073A"/>
    <w:rsid w:val="00C92573"/>
    <w:rsid w:val="00CA5846"/>
    <w:rsid w:val="00CA6CB6"/>
    <w:rsid w:val="00CB3530"/>
    <w:rsid w:val="00CC0113"/>
    <w:rsid w:val="00CD532B"/>
    <w:rsid w:val="00CD6AA8"/>
    <w:rsid w:val="00CE1D9D"/>
    <w:rsid w:val="00D028ED"/>
    <w:rsid w:val="00D10FCA"/>
    <w:rsid w:val="00D30BBE"/>
    <w:rsid w:val="00D310D3"/>
    <w:rsid w:val="00D47D54"/>
    <w:rsid w:val="00D51669"/>
    <w:rsid w:val="00D54A14"/>
    <w:rsid w:val="00D64C73"/>
    <w:rsid w:val="00D70FE5"/>
    <w:rsid w:val="00D81007"/>
    <w:rsid w:val="00D872AD"/>
    <w:rsid w:val="00D9187A"/>
    <w:rsid w:val="00D91A5B"/>
    <w:rsid w:val="00DA13B0"/>
    <w:rsid w:val="00DA5AAB"/>
    <w:rsid w:val="00DB6110"/>
    <w:rsid w:val="00DD44F2"/>
    <w:rsid w:val="00DD47BD"/>
    <w:rsid w:val="00DD54A1"/>
    <w:rsid w:val="00E0165F"/>
    <w:rsid w:val="00E141F7"/>
    <w:rsid w:val="00E15F22"/>
    <w:rsid w:val="00E40B71"/>
    <w:rsid w:val="00E419BD"/>
    <w:rsid w:val="00E53F9C"/>
    <w:rsid w:val="00E610E1"/>
    <w:rsid w:val="00E618C5"/>
    <w:rsid w:val="00E61E6E"/>
    <w:rsid w:val="00E73DBE"/>
    <w:rsid w:val="00E76E27"/>
    <w:rsid w:val="00E81AC5"/>
    <w:rsid w:val="00E82156"/>
    <w:rsid w:val="00E85176"/>
    <w:rsid w:val="00EA6CDB"/>
    <w:rsid w:val="00EB4174"/>
    <w:rsid w:val="00EC5120"/>
    <w:rsid w:val="00ED5BAA"/>
    <w:rsid w:val="00EE48FE"/>
    <w:rsid w:val="00EF1910"/>
    <w:rsid w:val="00F069C8"/>
    <w:rsid w:val="00F075F3"/>
    <w:rsid w:val="00F11BF5"/>
    <w:rsid w:val="00F22C64"/>
    <w:rsid w:val="00F22D1B"/>
    <w:rsid w:val="00F24E47"/>
    <w:rsid w:val="00F264F7"/>
    <w:rsid w:val="00F3594F"/>
    <w:rsid w:val="00F54F92"/>
    <w:rsid w:val="00F6662B"/>
    <w:rsid w:val="00F770BA"/>
    <w:rsid w:val="00F8297E"/>
    <w:rsid w:val="00F83049"/>
    <w:rsid w:val="00F867C7"/>
    <w:rsid w:val="00F86C57"/>
    <w:rsid w:val="00FA1A37"/>
    <w:rsid w:val="00FA3617"/>
    <w:rsid w:val="00FB2952"/>
    <w:rsid w:val="00FD21D4"/>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FollowedHyperlink">
    <w:name w:val="FollowedHyperlink"/>
    <w:basedOn w:val="DefaultParagraphFont"/>
    <w:uiPriority w:val="99"/>
    <w:semiHidden/>
    <w:unhideWhenUsed/>
    <w:rsid w:val="00980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9209834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12722017">
      <w:bodyDiv w:val="1"/>
      <w:marLeft w:val="0"/>
      <w:marRight w:val="0"/>
      <w:marTop w:val="0"/>
      <w:marBottom w:val="0"/>
      <w:divBdr>
        <w:top w:val="none" w:sz="0" w:space="0" w:color="auto"/>
        <w:left w:val="none" w:sz="0" w:space="0" w:color="auto"/>
        <w:bottom w:val="none" w:sz="0" w:space="0" w:color="auto"/>
        <w:right w:val="none" w:sz="0" w:space="0" w:color="auto"/>
      </w:divBdr>
      <w:divsChild>
        <w:div w:id="2056195126">
          <w:marLeft w:val="403"/>
          <w:marRight w:val="0"/>
          <w:marTop w:val="0"/>
          <w:marBottom w:val="120"/>
          <w:divBdr>
            <w:top w:val="none" w:sz="0" w:space="0" w:color="auto"/>
            <w:left w:val="none" w:sz="0" w:space="0" w:color="auto"/>
            <w:bottom w:val="none" w:sz="0" w:space="0" w:color="auto"/>
            <w:right w:val="none" w:sz="0" w:space="0" w:color="auto"/>
          </w:divBdr>
        </w:div>
        <w:div w:id="1887905976">
          <w:marLeft w:val="878"/>
          <w:marRight w:val="0"/>
          <w:marTop w:val="0"/>
          <w:marBottom w:val="120"/>
          <w:divBdr>
            <w:top w:val="none" w:sz="0" w:space="0" w:color="auto"/>
            <w:left w:val="none" w:sz="0" w:space="0" w:color="auto"/>
            <w:bottom w:val="none" w:sz="0" w:space="0" w:color="auto"/>
            <w:right w:val="none" w:sz="0" w:space="0" w:color="auto"/>
          </w:divBdr>
        </w:div>
        <w:div w:id="1283609449">
          <w:marLeft w:val="403"/>
          <w:marRight w:val="0"/>
          <w:marTop w:val="0"/>
          <w:marBottom w:val="120"/>
          <w:divBdr>
            <w:top w:val="none" w:sz="0" w:space="0" w:color="auto"/>
            <w:left w:val="none" w:sz="0" w:space="0" w:color="auto"/>
            <w:bottom w:val="none" w:sz="0" w:space="0" w:color="auto"/>
            <w:right w:val="none" w:sz="0" w:space="0" w:color="auto"/>
          </w:divBdr>
        </w:div>
        <w:div w:id="1107390223">
          <w:marLeft w:val="878"/>
          <w:marRight w:val="0"/>
          <w:marTop w:val="0"/>
          <w:marBottom w:val="120"/>
          <w:divBdr>
            <w:top w:val="none" w:sz="0" w:space="0" w:color="auto"/>
            <w:left w:val="none" w:sz="0" w:space="0" w:color="auto"/>
            <w:bottom w:val="none" w:sz="0" w:space="0" w:color="auto"/>
            <w:right w:val="none" w:sz="0" w:space="0" w:color="auto"/>
          </w:divBdr>
        </w:div>
        <w:div w:id="1996952753">
          <w:marLeft w:val="878"/>
          <w:marRight w:val="0"/>
          <w:marTop w:val="0"/>
          <w:marBottom w:val="120"/>
          <w:divBdr>
            <w:top w:val="none" w:sz="0" w:space="0" w:color="auto"/>
            <w:left w:val="none" w:sz="0" w:space="0" w:color="auto"/>
            <w:bottom w:val="none" w:sz="0" w:space="0" w:color="auto"/>
            <w:right w:val="none" w:sz="0" w:space="0" w:color="auto"/>
          </w:divBdr>
        </w:div>
        <w:div w:id="341056832">
          <w:marLeft w:val="403"/>
          <w:marRight w:val="0"/>
          <w:marTop w:val="0"/>
          <w:marBottom w:val="120"/>
          <w:divBdr>
            <w:top w:val="none" w:sz="0" w:space="0" w:color="auto"/>
            <w:left w:val="none" w:sz="0" w:space="0" w:color="auto"/>
            <w:bottom w:val="none" w:sz="0" w:space="0" w:color="auto"/>
            <w:right w:val="none" w:sz="0" w:space="0" w:color="auto"/>
          </w:divBdr>
        </w:div>
        <w:div w:id="1356074213">
          <w:marLeft w:val="403"/>
          <w:marRight w:val="0"/>
          <w:marTop w:val="0"/>
          <w:marBottom w:val="120"/>
          <w:divBdr>
            <w:top w:val="none" w:sz="0" w:space="0" w:color="auto"/>
            <w:left w:val="none" w:sz="0" w:space="0" w:color="auto"/>
            <w:bottom w:val="none" w:sz="0" w:space="0" w:color="auto"/>
            <w:right w:val="none" w:sz="0" w:space="0" w:color="auto"/>
          </w:divBdr>
        </w:div>
        <w:div w:id="2051107067">
          <w:marLeft w:val="403"/>
          <w:marRight w:val="0"/>
          <w:marTop w:val="0"/>
          <w:marBottom w:val="120"/>
          <w:divBdr>
            <w:top w:val="none" w:sz="0" w:space="0" w:color="auto"/>
            <w:left w:val="none" w:sz="0" w:space="0" w:color="auto"/>
            <w:bottom w:val="none" w:sz="0" w:space="0" w:color="auto"/>
            <w:right w:val="none" w:sz="0" w:space="0" w:color="auto"/>
          </w:divBdr>
        </w:div>
        <w:div w:id="1955137126">
          <w:marLeft w:val="403"/>
          <w:marRight w:val="0"/>
          <w:marTop w:val="0"/>
          <w:marBottom w:val="120"/>
          <w:divBdr>
            <w:top w:val="none" w:sz="0" w:space="0" w:color="auto"/>
            <w:left w:val="none" w:sz="0" w:space="0" w:color="auto"/>
            <w:bottom w:val="none" w:sz="0" w:space="0" w:color="auto"/>
            <w:right w:val="none" w:sz="0" w:space="0" w:color="auto"/>
          </w:divBdr>
        </w:div>
        <w:div w:id="443422161">
          <w:marLeft w:val="403"/>
          <w:marRight w:val="0"/>
          <w:marTop w:val="0"/>
          <w:marBottom w:val="120"/>
          <w:divBdr>
            <w:top w:val="none" w:sz="0" w:space="0" w:color="auto"/>
            <w:left w:val="none" w:sz="0" w:space="0" w:color="auto"/>
            <w:bottom w:val="none" w:sz="0" w:space="0" w:color="auto"/>
            <w:right w:val="none" w:sz="0" w:space="0" w:color="auto"/>
          </w:divBdr>
        </w:div>
        <w:div w:id="1859736336">
          <w:marLeft w:val="403"/>
          <w:marRight w:val="0"/>
          <w:marTop w:val="0"/>
          <w:marBottom w:val="120"/>
          <w:divBdr>
            <w:top w:val="none" w:sz="0" w:space="0" w:color="auto"/>
            <w:left w:val="none" w:sz="0" w:space="0" w:color="auto"/>
            <w:bottom w:val="none" w:sz="0" w:space="0" w:color="auto"/>
            <w:right w:val="none" w:sz="0" w:space="0" w:color="auto"/>
          </w:divBdr>
        </w:div>
        <w:div w:id="2114326433">
          <w:marLeft w:val="403"/>
          <w:marRight w:val="0"/>
          <w:marTop w:val="0"/>
          <w:marBottom w:val="120"/>
          <w:divBdr>
            <w:top w:val="none" w:sz="0" w:space="0" w:color="auto"/>
            <w:left w:val="none" w:sz="0" w:space="0" w:color="auto"/>
            <w:bottom w:val="none" w:sz="0" w:space="0" w:color="auto"/>
            <w:right w:val="none" w:sz="0" w:space="0" w:color="auto"/>
          </w:divBdr>
        </w:div>
      </w:divsChild>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49266390">
      <w:bodyDiv w:val="1"/>
      <w:marLeft w:val="0"/>
      <w:marRight w:val="0"/>
      <w:marTop w:val="0"/>
      <w:marBottom w:val="0"/>
      <w:divBdr>
        <w:top w:val="none" w:sz="0" w:space="0" w:color="auto"/>
        <w:left w:val="none" w:sz="0" w:space="0" w:color="auto"/>
        <w:bottom w:val="none" w:sz="0" w:space="0" w:color="auto"/>
        <w:right w:val="none" w:sz="0" w:space="0" w:color="auto"/>
      </w:divBdr>
      <w:divsChild>
        <w:div w:id="65348629">
          <w:marLeft w:val="403"/>
          <w:marRight w:val="0"/>
          <w:marTop w:val="0"/>
          <w:marBottom w:val="80"/>
          <w:divBdr>
            <w:top w:val="none" w:sz="0" w:space="0" w:color="auto"/>
            <w:left w:val="none" w:sz="0" w:space="0" w:color="auto"/>
            <w:bottom w:val="none" w:sz="0" w:space="0" w:color="auto"/>
            <w:right w:val="none" w:sz="0" w:space="0" w:color="auto"/>
          </w:divBdr>
        </w:div>
        <w:div w:id="1819497686">
          <w:marLeft w:val="403"/>
          <w:marRight w:val="0"/>
          <w:marTop w:val="0"/>
          <w:marBottom w:val="80"/>
          <w:divBdr>
            <w:top w:val="none" w:sz="0" w:space="0" w:color="auto"/>
            <w:left w:val="none" w:sz="0" w:space="0" w:color="auto"/>
            <w:bottom w:val="none" w:sz="0" w:space="0" w:color="auto"/>
            <w:right w:val="none" w:sz="0" w:space="0" w:color="auto"/>
          </w:divBdr>
        </w:div>
        <w:div w:id="940458272">
          <w:marLeft w:val="403"/>
          <w:marRight w:val="0"/>
          <w:marTop w:val="0"/>
          <w:marBottom w:val="80"/>
          <w:divBdr>
            <w:top w:val="none" w:sz="0" w:space="0" w:color="auto"/>
            <w:left w:val="none" w:sz="0" w:space="0" w:color="auto"/>
            <w:bottom w:val="none" w:sz="0" w:space="0" w:color="auto"/>
            <w:right w:val="none" w:sz="0" w:space="0" w:color="auto"/>
          </w:divBdr>
        </w:div>
        <w:div w:id="1805537605">
          <w:marLeft w:val="403"/>
          <w:marRight w:val="0"/>
          <w:marTop w:val="0"/>
          <w:marBottom w:val="80"/>
          <w:divBdr>
            <w:top w:val="none" w:sz="0" w:space="0" w:color="auto"/>
            <w:left w:val="none" w:sz="0" w:space="0" w:color="auto"/>
            <w:bottom w:val="none" w:sz="0" w:space="0" w:color="auto"/>
            <w:right w:val="none" w:sz="0" w:space="0" w:color="auto"/>
          </w:divBdr>
        </w:div>
        <w:div w:id="1923492273">
          <w:marLeft w:val="878"/>
          <w:marRight w:val="0"/>
          <w:marTop w:val="0"/>
          <w:marBottom w:val="80"/>
          <w:divBdr>
            <w:top w:val="none" w:sz="0" w:space="0" w:color="auto"/>
            <w:left w:val="none" w:sz="0" w:space="0" w:color="auto"/>
            <w:bottom w:val="none" w:sz="0" w:space="0" w:color="auto"/>
            <w:right w:val="none" w:sz="0" w:space="0" w:color="auto"/>
          </w:divBdr>
        </w:div>
        <w:div w:id="1553542196">
          <w:marLeft w:val="878"/>
          <w:marRight w:val="0"/>
          <w:marTop w:val="0"/>
          <w:marBottom w:val="80"/>
          <w:divBdr>
            <w:top w:val="none" w:sz="0" w:space="0" w:color="auto"/>
            <w:left w:val="none" w:sz="0" w:space="0" w:color="auto"/>
            <w:bottom w:val="none" w:sz="0" w:space="0" w:color="auto"/>
            <w:right w:val="none" w:sz="0" w:space="0" w:color="auto"/>
          </w:divBdr>
        </w:div>
        <w:div w:id="2042974124">
          <w:marLeft w:val="878"/>
          <w:marRight w:val="0"/>
          <w:marTop w:val="0"/>
          <w:marBottom w:val="80"/>
          <w:divBdr>
            <w:top w:val="none" w:sz="0" w:space="0" w:color="auto"/>
            <w:left w:val="none" w:sz="0" w:space="0" w:color="auto"/>
            <w:bottom w:val="none" w:sz="0" w:space="0" w:color="auto"/>
            <w:right w:val="none" w:sz="0" w:space="0" w:color="auto"/>
          </w:divBdr>
        </w:div>
        <w:div w:id="713425332">
          <w:marLeft w:val="403"/>
          <w:marRight w:val="0"/>
          <w:marTop w:val="0"/>
          <w:marBottom w:val="80"/>
          <w:divBdr>
            <w:top w:val="none" w:sz="0" w:space="0" w:color="auto"/>
            <w:left w:val="none" w:sz="0" w:space="0" w:color="auto"/>
            <w:bottom w:val="none" w:sz="0" w:space="0" w:color="auto"/>
            <w:right w:val="none" w:sz="0" w:space="0" w:color="auto"/>
          </w:divBdr>
        </w:div>
        <w:div w:id="1971663365">
          <w:marLeft w:val="403"/>
          <w:marRight w:val="0"/>
          <w:marTop w:val="0"/>
          <w:marBottom w:val="80"/>
          <w:divBdr>
            <w:top w:val="none" w:sz="0" w:space="0" w:color="auto"/>
            <w:left w:val="none" w:sz="0" w:space="0" w:color="auto"/>
            <w:bottom w:val="none" w:sz="0" w:space="0" w:color="auto"/>
            <w:right w:val="none" w:sz="0" w:space="0" w:color="auto"/>
          </w:divBdr>
        </w:div>
      </w:divsChild>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099016118">
      <w:bodyDiv w:val="1"/>
      <w:marLeft w:val="0"/>
      <w:marRight w:val="0"/>
      <w:marTop w:val="0"/>
      <w:marBottom w:val="0"/>
      <w:divBdr>
        <w:top w:val="none" w:sz="0" w:space="0" w:color="auto"/>
        <w:left w:val="none" w:sz="0" w:space="0" w:color="auto"/>
        <w:bottom w:val="none" w:sz="0" w:space="0" w:color="auto"/>
        <w:right w:val="none" w:sz="0" w:space="0" w:color="auto"/>
      </w:divBdr>
      <w:divsChild>
        <w:div w:id="79836238">
          <w:marLeft w:val="403"/>
          <w:marRight w:val="0"/>
          <w:marTop w:val="0"/>
          <w:marBottom w:val="120"/>
          <w:divBdr>
            <w:top w:val="none" w:sz="0" w:space="0" w:color="auto"/>
            <w:left w:val="none" w:sz="0" w:space="0" w:color="auto"/>
            <w:bottom w:val="none" w:sz="0" w:space="0" w:color="auto"/>
            <w:right w:val="none" w:sz="0" w:space="0" w:color="auto"/>
          </w:divBdr>
        </w:div>
        <w:div w:id="1436633434">
          <w:marLeft w:val="403"/>
          <w:marRight w:val="0"/>
          <w:marTop w:val="0"/>
          <w:marBottom w:val="120"/>
          <w:divBdr>
            <w:top w:val="none" w:sz="0" w:space="0" w:color="auto"/>
            <w:left w:val="none" w:sz="0" w:space="0" w:color="auto"/>
            <w:bottom w:val="none" w:sz="0" w:space="0" w:color="auto"/>
            <w:right w:val="none" w:sz="0" w:space="0" w:color="auto"/>
          </w:divBdr>
        </w:div>
        <w:div w:id="45835587">
          <w:marLeft w:val="403"/>
          <w:marRight w:val="0"/>
          <w:marTop w:val="0"/>
          <w:marBottom w:val="120"/>
          <w:divBdr>
            <w:top w:val="none" w:sz="0" w:space="0" w:color="auto"/>
            <w:left w:val="none" w:sz="0" w:space="0" w:color="auto"/>
            <w:bottom w:val="none" w:sz="0" w:space="0" w:color="auto"/>
            <w:right w:val="none" w:sz="0" w:space="0" w:color="auto"/>
          </w:divBdr>
        </w:div>
        <w:div w:id="381708844">
          <w:marLeft w:val="403"/>
          <w:marRight w:val="0"/>
          <w:marTop w:val="0"/>
          <w:marBottom w:val="120"/>
          <w:divBdr>
            <w:top w:val="none" w:sz="0" w:space="0" w:color="auto"/>
            <w:left w:val="none" w:sz="0" w:space="0" w:color="auto"/>
            <w:bottom w:val="none" w:sz="0" w:space="0" w:color="auto"/>
            <w:right w:val="none" w:sz="0" w:space="0" w:color="auto"/>
          </w:divBdr>
        </w:div>
        <w:div w:id="2102870822">
          <w:marLeft w:val="878"/>
          <w:marRight w:val="0"/>
          <w:marTop w:val="0"/>
          <w:marBottom w:val="120"/>
          <w:divBdr>
            <w:top w:val="none" w:sz="0" w:space="0" w:color="auto"/>
            <w:left w:val="none" w:sz="0" w:space="0" w:color="auto"/>
            <w:bottom w:val="none" w:sz="0" w:space="0" w:color="auto"/>
            <w:right w:val="none" w:sz="0" w:space="0" w:color="auto"/>
          </w:divBdr>
        </w:div>
        <w:div w:id="764687860">
          <w:marLeft w:val="878"/>
          <w:marRight w:val="0"/>
          <w:marTop w:val="0"/>
          <w:marBottom w:val="120"/>
          <w:divBdr>
            <w:top w:val="none" w:sz="0" w:space="0" w:color="auto"/>
            <w:left w:val="none" w:sz="0" w:space="0" w:color="auto"/>
            <w:bottom w:val="none" w:sz="0" w:space="0" w:color="auto"/>
            <w:right w:val="none" w:sz="0" w:space="0" w:color="auto"/>
          </w:divBdr>
        </w:div>
        <w:div w:id="1601062901">
          <w:marLeft w:val="878"/>
          <w:marRight w:val="0"/>
          <w:marTop w:val="0"/>
          <w:marBottom w:val="120"/>
          <w:divBdr>
            <w:top w:val="none" w:sz="0" w:space="0" w:color="auto"/>
            <w:left w:val="none" w:sz="0" w:space="0" w:color="auto"/>
            <w:bottom w:val="none" w:sz="0" w:space="0" w:color="auto"/>
            <w:right w:val="none" w:sz="0" w:space="0" w:color="auto"/>
          </w:divBdr>
        </w:div>
        <w:div w:id="1393433114">
          <w:marLeft w:val="403"/>
          <w:marRight w:val="0"/>
          <w:marTop w:val="0"/>
          <w:marBottom w:val="120"/>
          <w:divBdr>
            <w:top w:val="none" w:sz="0" w:space="0" w:color="auto"/>
            <w:left w:val="none" w:sz="0" w:space="0" w:color="auto"/>
            <w:bottom w:val="none" w:sz="0" w:space="0" w:color="auto"/>
            <w:right w:val="none" w:sz="0" w:space="0" w:color="auto"/>
          </w:divBdr>
        </w:div>
        <w:div w:id="266542824">
          <w:marLeft w:val="878"/>
          <w:marRight w:val="0"/>
          <w:marTop w:val="0"/>
          <w:marBottom w:val="120"/>
          <w:divBdr>
            <w:top w:val="none" w:sz="0" w:space="0" w:color="auto"/>
            <w:left w:val="none" w:sz="0" w:space="0" w:color="auto"/>
            <w:bottom w:val="none" w:sz="0" w:space="0" w:color="auto"/>
            <w:right w:val="none" w:sz="0" w:space="0" w:color="auto"/>
          </w:divBdr>
        </w:div>
        <w:div w:id="1545556367">
          <w:marLeft w:val="878"/>
          <w:marRight w:val="0"/>
          <w:marTop w:val="0"/>
          <w:marBottom w:val="120"/>
          <w:divBdr>
            <w:top w:val="none" w:sz="0" w:space="0" w:color="auto"/>
            <w:left w:val="none" w:sz="0" w:space="0" w:color="auto"/>
            <w:bottom w:val="none" w:sz="0" w:space="0" w:color="auto"/>
            <w:right w:val="none" w:sz="0" w:space="0" w:color="auto"/>
          </w:divBdr>
        </w:div>
        <w:div w:id="788864569">
          <w:marLeft w:val="878"/>
          <w:marRight w:val="0"/>
          <w:marTop w:val="0"/>
          <w:marBottom w:val="120"/>
          <w:divBdr>
            <w:top w:val="none" w:sz="0" w:space="0" w:color="auto"/>
            <w:left w:val="none" w:sz="0" w:space="0" w:color="auto"/>
            <w:bottom w:val="none" w:sz="0" w:space="0" w:color="auto"/>
            <w:right w:val="none" w:sz="0" w:space="0" w:color="auto"/>
          </w:divBdr>
        </w:div>
      </w:divsChild>
    </w:div>
    <w:div w:id="21363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arket-sustainability-and-fair-cost-of-care-fund-2022-to-2023/market-sustainability-and-fair-cost-of-care-fund-purpose-and-conditions-2022-to-20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eon.goddard@loca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62928/annex-C-market-sustainability-plan-template.od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market-sustainability-and-fair-cost-of-care-fund-2022-to-2023-guidance/annex-b-cost-of-care-reports-content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market-sustainability-and-fair-cost-of-care-fund-2022-to-2023-guidance/market-sustainability-and-fair-cost-of-care-fund-2022-to-2023-guidanc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1" ma:contentTypeDescription="Create a new document." ma:contentTypeScope="" ma:versionID="f69a6f98eadaeb444b38dec9588299ab">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fe6adeff35622c46f2ab93d9447f33fb"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B153D-2D53-4144-A1B7-9E40DE46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199</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3</cp:revision>
  <dcterms:created xsi:type="dcterms:W3CDTF">2022-11-24T15:03:00Z</dcterms:created>
  <dcterms:modified xsi:type="dcterms:W3CDTF">2022-11-24T18:21:00Z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y fmtid="{D5CDD505-2E9C-101B-9397-08002B2CF9AE}" pid="3" name="Document owner">
    <vt:lpwstr>999;#LGA MemberServices</vt:lpwstr>
  </property>
</Properties>
</file>